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AB8" w:rsidRDefault="00420DF2" w:rsidP="005733F5">
      <w:pPr>
        <w:pStyle w:val="Title"/>
      </w:pPr>
      <w:bookmarkStart w:id="0" w:name="_GoBack"/>
      <w:bookmarkEnd w:id="0"/>
      <w:r>
        <w:t>Out of Court Disposal Scrutiny Panel</w:t>
      </w:r>
    </w:p>
    <w:p w:rsidR="005733F5" w:rsidRDefault="00420DF2" w:rsidP="00B820DC">
      <w:pPr>
        <w:pStyle w:val="Subtitle"/>
        <w:tabs>
          <w:tab w:val="left" w:pos="7075"/>
        </w:tabs>
      </w:pPr>
      <w:r>
        <w:t>Feedback report to Learning &amp; Development</w:t>
      </w:r>
      <w:r w:rsidR="00B820DC">
        <w:tab/>
      </w:r>
    </w:p>
    <w:p w:rsidR="00420DF2" w:rsidRPr="0053034B" w:rsidRDefault="00420DF2"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sidRPr="00420DF2">
        <w:rPr>
          <w:b/>
        </w:rPr>
        <w:t>Date of document:</w:t>
      </w:r>
      <w:r>
        <w:rPr>
          <w:b/>
        </w:rPr>
        <w:t xml:space="preserve">  </w:t>
      </w:r>
      <w:r w:rsidR="0053034B">
        <w:t>15/02/21</w:t>
      </w:r>
    </w:p>
    <w:p w:rsidR="00420DF2" w:rsidRDefault="00420DF2"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420DF2">
        <w:rPr>
          <w:b/>
        </w:rPr>
        <w:t>Date panel held:</w:t>
      </w:r>
      <w:r w:rsidR="00205499">
        <w:rPr>
          <w:b/>
        </w:rPr>
        <w:t xml:space="preserve"> 3</w:t>
      </w:r>
      <w:r w:rsidR="00205499">
        <w:rPr>
          <w:b/>
          <w:vertAlign w:val="superscript"/>
        </w:rPr>
        <w:t xml:space="preserve">rd </w:t>
      </w:r>
      <w:r w:rsidR="00205499">
        <w:rPr>
          <w:b/>
        </w:rPr>
        <w:t>February 2021</w:t>
      </w:r>
    </w:p>
    <w:p w:rsidR="00420DF2" w:rsidRPr="0053034B" w:rsidRDefault="00420DF2"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Pr>
          <w:b/>
        </w:rPr>
        <w:t xml:space="preserve">Number of cases reviewed:  </w:t>
      </w:r>
      <w:r w:rsidR="0053034B">
        <w:t>10</w:t>
      </w:r>
    </w:p>
    <w:p w:rsidR="001F593A" w:rsidRPr="000502E2" w:rsidRDefault="001F593A"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sidRPr="001F593A">
        <w:rPr>
          <w:b/>
        </w:rPr>
        <w:t>Panel</w:t>
      </w:r>
      <w:r w:rsidR="007F1392">
        <w:t>:</w:t>
      </w:r>
      <w:r w:rsidR="0053034B">
        <w:t xml:space="preserve"> JP Sue ALEXANDER (Chair), JP Caroline HAYES, Andrea PARKER (CPS), Leo YARWORTH (HMCTS) Karon MCCARTHY (Prospects), Lynn TEAGUE (Victim Support), Jo FEAR (Nelson Trust), Becky BEARD (OPCC), Jude PEREZ (Restorative Gloucestershire), CI Andy KILMURRAY (CJD/Custody Lead), PS </w:t>
      </w:r>
      <w:r w:rsidR="003C2967">
        <w:t>Nick ROGERS (Children’s First) and PS Sam TULEY (CJD/Custody PS).</w:t>
      </w:r>
    </w:p>
    <w:p w:rsidR="00420DF2" w:rsidRPr="0053034B" w:rsidRDefault="00420DF2"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sidRPr="00420DF2">
        <w:rPr>
          <w:b/>
        </w:rPr>
        <w:t>Person completing:</w:t>
      </w:r>
      <w:r w:rsidR="0053034B">
        <w:rPr>
          <w:b/>
        </w:rPr>
        <w:t xml:space="preserve"> </w:t>
      </w:r>
      <w:r w:rsidR="0053034B">
        <w:t>PS 1331 Samantha TULEY</w:t>
      </w:r>
    </w:p>
    <w:p w:rsidR="001F593A" w:rsidRPr="007F1392" w:rsidRDefault="009E55AB" w:rsidP="001F593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Pr>
          <w:b/>
        </w:rPr>
        <w:t xml:space="preserve">Report completed for:  </w:t>
      </w:r>
      <w:r w:rsidR="000502E2" w:rsidRPr="000502E2">
        <w:t>The Chief Constable</w:t>
      </w:r>
      <w:r w:rsidR="007F1392">
        <w:rPr>
          <w:b/>
        </w:rPr>
        <w:t xml:space="preserve"> </w:t>
      </w:r>
      <w:r w:rsidR="007F1392">
        <w:t>– CJD – Learning &amp; Development</w:t>
      </w:r>
    </w:p>
    <w:p w:rsidR="001F593A" w:rsidRDefault="001F593A" w:rsidP="00420DF2"/>
    <w:p w:rsidR="001F593A" w:rsidRDefault="001F593A" w:rsidP="00420DF2">
      <w:pPr>
        <w:rPr>
          <w:b/>
        </w:rPr>
      </w:pPr>
      <w:r>
        <w:rPr>
          <w:b/>
        </w:rPr>
        <w:t>How cases are reviewed</w:t>
      </w:r>
    </w:p>
    <w:p w:rsidR="0053034B" w:rsidRDefault="0053034B" w:rsidP="0053034B">
      <w:r>
        <w:t>The panel consists of representatives from a cross section of internal and external stakeholders.  Such members normally include the CPS, Police, Probation, Victim Support, Youth Services, the Courts and Magistracy.</w:t>
      </w:r>
    </w:p>
    <w:p w:rsidR="0053034B" w:rsidRDefault="0053034B" w:rsidP="0053034B">
      <w:r>
        <w:t>Ten cases are selected at random by the chair in advance of the panel meeting.  The case file paperwork for each case is researched, redacted and emailed securely to each panel member two weeks prior to the Scrutiny Panel.  Each case is discussed in detail and members vote as to how they feel each case was disposed as follows:</w:t>
      </w:r>
    </w:p>
    <w:p w:rsidR="0053034B" w:rsidRDefault="0053034B" w:rsidP="0053034B">
      <w:r>
        <w:rPr>
          <w:b/>
        </w:rPr>
        <w:t xml:space="preserve">1 </w:t>
      </w:r>
      <w:r>
        <w:t>= Appropriate and consistent with policy</w:t>
      </w:r>
    </w:p>
    <w:p w:rsidR="0053034B" w:rsidRDefault="0053034B" w:rsidP="0053034B">
      <w:r>
        <w:rPr>
          <w:b/>
        </w:rPr>
        <w:t>2</w:t>
      </w:r>
      <w:r>
        <w:t xml:space="preserve"> = Appropriate with observations</w:t>
      </w:r>
    </w:p>
    <w:p w:rsidR="0053034B" w:rsidRDefault="0053034B" w:rsidP="0053034B">
      <w:r>
        <w:rPr>
          <w:b/>
        </w:rPr>
        <w:t xml:space="preserve">3 </w:t>
      </w:r>
      <w:r>
        <w:t>= Inappropriate and inconsistent with policy</w:t>
      </w:r>
    </w:p>
    <w:p w:rsidR="0053034B" w:rsidRDefault="0053034B" w:rsidP="0053034B">
      <w:r>
        <w:rPr>
          <w:b/>
        </w:rPr>
        <w:t>4</w:t>
      </w:r>
      <w:r>
        <w:t xml:space="preserve"> = Panel unable to reach a decision</w:t>
      </w:r>
    </w:p>
    <w:p w:rsidR="0053034B" w:rsidRDefault="0053034B" w:rsidP="0053034B">
      <w:r>
        <w:t>If the panel are unable to reach a conclusion, the chair has the deciding vote.</w:t>
      </w:r>
    </w:p>
    <w:p w:rsidR="0053034B" w:rsidRDefault="0053034B" w:rsidP="0053034B">
      <w:r>
        <w:t>The cases selected for this panel were selected on the basis of the offenders being female and the Nelson Trust were invited along as the specialist advisor.</w:t>
      </w:r>
    </w:p>
    <w:p w:rsidR="0053034B" w:rsidRPr="0053034B" w:rsidRDefault="0053034B" w:rsidP="00420DF2"/>
    <w:p w:rsidR="00C245A6" w:rsidRDefault="00C245A6" w:rsidP="00420DF2"/>
    <w:p w:rsidR="00C245A6" w:rsidRDefault="00C245A6" w:rsidP="00420DF2"/>
    <w:p w:rsidR="00410705" w:rsidRDefault="00303F93" w:rsidP="0053034B">
      <w:pPr>
        <w:jc w:val="center"/>
        <w:rPr>
          <w:b/>
          <w:u w:val="single"/>
        </w:rPr>
      </w:pPr>
      <w:r>
        <w:rPr>
          <w:b/>
          <w:u w:val="single"/>
        </w:rPr>
        <w:lastRenderedPageBreak/>
        <w:t>YOUTH</w:t>
      </w:r>
      <w:r w:rsidR="00410705">
        <w:rPr>
          <w:b/>
          <w:u w:val="single"/>
        </w:rPr>
        <w:t xml:space="preserve"> CASES</w:t>
      </w:r>
    </w:p>
    <w:p w:rsidR="00D36751" w:rsidRPr="00C245A6" w:rsidRDefault="00D36751" w:rsidP="00410705">
      <w:pPr>
        <w:rPr>
          <w:b/>
          <w:u w:val="single"/>
        </w:rPr>
      </w:pP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1</w:t>
      </w:r>
      <w:r w:rsidR="007F1392">
        <w:t>:</w:t>
      </w:r>
      <w:r w:rsidR="00205499">
        <w:t xml:space="preserve"> 27751/20 – Assault ABH</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w:t>
      </w:r>
      <w:r w:rsidR="00205499">
        <w:t xml:space="preserve"> Youth Diversionary</w:t>
      </w:r>
    </w:p>
    <w:p w:rsidR="0053034B"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t>Female Offender</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CD33B3">
        <w:t xml:space="preserve">:  </w:t>
      </w:r>
      <w:r w:rsidR="0053034B">
        <w:t>1</w:t>
      </w:r>
    </w:p>
    <w:p w:rsidR="00CD33B3" w:rsidRDefault="00CD33B3" w:rsidP="00CD33B3">
      <w:r w:rsidRPr="00EC292B">
        <w:rPr>
          <w:b/>
        </w:rPr>
        <w:t>Documents reviewed</w:t>
      </w:r>
      <w:r w:rsidR="007F1392">
        <w:t xml:space="preserve"> </w:t>
      </w:r>
      <w:r w:rsidR="00222E0D">
        <w:t>– Crime report and MG6</w:t>
      </w:r>
    </w:p>
    <w:p w:rsidR="00CD33B3" w:rsidRDefault="00CD33B3" w:rsidP="00CD33B3">
      <w:r w:rsidRPr="00EC292B">
        <w:rPr>
          <w:b/>
        </w:rPr>
        <w:t>Summary</w:t>
      </w:r>
      <w:r>
        <w:t xml:space="preserve"> – </w:t>
      </w:r>
      <w:r w:rsidR="00222E0D">
        <w:t>A</w:t>
      </w:r>
      <w:r w:rsidR="003C2967">
        <w:t xml:space="preserve">ssault on mother by </w:t>
      </w:r>
      <w:r w:rsidR="00222E0D">
        <w:t>he</w:t>
      </w:r>
      <w:r w:rsidR="003C2967">
        <w:t>r</w:t>
      </w:r>
      <w:r w:rsidR="00222E0D">
        <w:t xml:space="preserve"> 15 year old daughter outside of the home address.  Daughter currently lives with foster carers due to a breakdown in the relationship.</w:t>
      </w:r>
    </w:p>
    <w:p w:rsidR="004551EF" w:rsidRDefault="00CD33B3" w:rsidP="00410705">
      <w:r w:rsidRPr="00EC292B">
        <w:rPr>
          <w:b/>
        </w:rPr>
        <w:t>Observations</w:t>
      </w:r>
      <w:r>
        <w:t xml:space="preserve"> – </w:t>
      </w:r>
      <w:r w:rsidR="003C2967">
        <w:t>All panel members agreed that this was a suitable disposal completed in a timely manner and that support was being provided to the young person, as there had been a great deal of trauma already within the family. There was discussion around the fact that this would not be considered a domestic abuse crime, as per the definition, due to the age of the offender and that there appears to be very little research or guidance available to practitioners to deal with this adolescent to parent violence and abuse (APVA).</w:t>
      </w:r>
    </w:p>
    <w:p w:rsidR="00205499" w:rsidRDefault="00205499"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2</w:t>
      </w:r>
      <w:r w:rsidR="00CD33B3">
        <w:t>:</w:t>
      </w:r>
      <w:r w:rsidR="00205499">
        <w:t xml:space="preserve"> 32667/20 – Assault ABH</w:t>
      </w:r>
      <w:r w:rsidR="00CD33B3">
        <w:t xml:space="preserve"> </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205499">
        <w:t>Youth Caution</w:t>
      </w:r>
    </w:p>
    <w:p w:rsidR="0053034B"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t>Female Offender</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CD33B3">
        <w:t xml:space="preserve">:  </w:t>
      </w:r>
      <w:r w:rsidR="0053034B">
        <w:t>2</w:t>
      </w:r>
    </w:p>
    <w:p w:rsidR="00CD33B3" w:rsidRDefault="00CD33B3" w:rsidP="00CD33B3">
      <w:r w:rsidRPr="00EC292B">
        <w:rPr>
          <w:b/>
        </w:rPr>
        <w:t>Documents reviewed</w:t>
      </w:r>
      <w:r w:rsidR="007F1392">
        <w:t xml:space="preserve"> </w:t>
      </w:r>
      <w:r w:rsidR="00222E0D">
        <w:t>–</w:t>
      </w:r>
      <w:r w:rsidR="007F1392">
        <w:t xml:space="preserve"> </w:t>
      </w:r>
      <w:r w:rsidR="00222E0D">
        <w:t>Crime report and MG6</w:t>
      </w:r>
    </w:p>
    <w:p w:rsidR="00CD33B3" w:rsidRDefault="00CD33B3" w:rsidP="00CD33B3">
      <w:r w:rsidRPr="00EC292B">
        <w:rPr>
          <w:b/>
        </w:rPr>
        <w:t>Summary</w:t>
      </w:r>
      <w:r>
        <w:t xml:space="preserve"> – </w:t>
      </w:r>
      <w:r w:rsidR="00222E0D">
        <w:t>Mother and younger sibling have been assaulted by the 14 year old daughter at the home address.</w:t>
      </w:r>
    </w:p>
    <w:p w:rsidR="00062A2F" w:rsidRDefault="00CD33B3" w:rsidP="00410705">
      <w:r w:rsidRPr="00EC292B">
        <w:rPr>
          <w:b/>
        </w:rPr>
        <w:t>Observations</w:t>
      </w:r>
      <w:r>
        <w:t xml:space="preserve"> – </w:t>
      </w:r>
      <w:r w:rsidR="003C2967">
        <w:t>This was a decision made by a Custody Sergeant and followed the Children’s First policy guidance as the offender had already received two Youth Diversionary disposals in the previous 12 months. However the panel felt that this should still have been passed to the Children’s First Panel, as in certain circumstances a third YRI can be given if the offender is engaging well with services in order to provide support for them and their family. Again another APVA offence.</w:t>
      </w:r>
    </w:p>
    <w:p w:rsidR="00205499" w:rsidRDefault="00205499"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3</w:t>
      </w:r>
      <w:r w:rsidR="007F1392">
        <w:t>:</w:t>
      </w:r>
      <w:r w:rsidR="00205499">
        <w:t xml:space="preserve"> 32266/20 – Malicious Communications</w:t>
      </w:r>
      <w:r w:rsidR="007F1392">
        <w:t xml:space="preserve"> </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205499">
        <w:t>RJ Level One</w:t>
      </w:r>
    </w:p>
    <w:p w:rsidR="0053034B"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t>Female Offender</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CD33B3">
        <w:t xml:space="preserve">:  </w:t>
      </w:r>
      <w:r w:rsidR="0053034B">
        <w:t>1</w:t>
      </w:r>
    </w:p>
    <w:p w:rsidR="00CD33B3" w:rsidRDefault="00CD33B3" w:rsidP="00CD33B3">
      <w:r w:rsidRPr="00EC292B">
        <w:rPr>
          <w:b/>
        </w:rPr>
        <w:t>Documents reviewed</w:t>
      </w:r>
      <w:r w:rsidR="007F1392">
        <w:t xml:space="preserve"> </w:t>
      </w:r>
      <w:r w:rsidR="00F05017">
        <w:t>–</w:t>
      </w:r>
      <w:r w:rsidR="007F1392">
        <w:t xml:space="preserve"> </w:t>
      </w:r>
      <w:r w:rsidR="00F05017">
        <w:t>Crime report</w:t>
      </w:r>
    </w:p>
    <w:p w:rsidR="00CD33B3" w:rsidRDefault="00CD33B3" w:rsidP="00CD33B3">
      <w:r w:rsidRPr="00EC292B">
        <w:rPr>
          <w:b/>
        </w:rPr>
        <w:lastRenderedPageBreak/>
        <w:t>Summary</w:t>
      </w:r>
      <w:r>
        <w:t xml:space="preserve"> – </w:t>
      </w:r>
      <w:r w:rsidR="00F05017">
        <w:t>Two 15 year old girls have had a falling out over a boy which has resulted in insults bei</w:t>
      </w:r>
      <w:r w:rsidR="003C2967">
        <w:t>ng posted on Instagram about the victim’s</w:t>
      </w:r>
      <w:r w:rsidR="00F05017">
        <w:t xml:space="preserve"> mother</w:t>
      </w:r>
      <w:r w:rsidR="003C2967">
        <w:t>,</w:t>
      </w:r>
      <w:r w:rsidR="00F05017">
        <w:t xml:space="preserve"> who is dependent on a wheelchair for her mobility.</w:t>
      </w:r>
    </w:p>
    <w:p w:rsidR="00062A2F" w:rsidRDefault="00CD33B3" w:rsidP="00410705">
      <w:r w:rsidRPr="00EC292B">
        <w:rPr>
          <w:b/>
        </w:rPr>
        <w:t>Observations</w:t>
      </w:r>
      <w:r>
        <w:t xml:space="preserve"> – </w:t>
      </w:r>
      <w:r w:rsidR="003C2967">
        <w:t>The majority of panel members agreed this was a suitable disposal although a few members raised the point that this should have been recorded as a hate crime and that a RJ Level 2 disposal would have been more appropriate in order to give the victim a voice.</w:t>
      </w:r>
    </w:p>
    <w:p w:rsidR="00205499" w:rsidRDefault="00205499"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4</w:t>
      </w:r>
      <w:r w:rsidR="007F1392">
        <w:t xml:space="preserve">: </w:t>
      </w:r>
      <w:r w:rsidR="00205499">
        <w:t>29521/20 – Harassment – Fear of violence</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205499">
        <w:t>RJ Level One</w:t>
      </w:r>
    </w:p>
    <w:p w:rsidR="0053034B"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t>Female Offender</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833EDE">
        <w:t xml:space="preserve">:  </w:t>
      </w:r>
      <w:r w:rsidR="0053034B">
        <w:t>1</w:t>
      </w:r>
    </w:p>
    <w:p w:rsidR="00833EDE" w:rsidRDefault="00833EDE" w:rsidP="00833EDE">
      <w:r w:rsidRPr="00EC292B">
        <w:rPr>
          <w:b/>
        </w:rPr>
        <w:t>Documents reviewed</w:t>
      </w:r>
      <w:r w:rsidR="007F1392">
        <w:t xml:space="preserve"> </w:t>
      </w:r>
      <w:r w:rsidR="00767553">
        <w:t>–</w:t>
      </w:r>
      <w:r w:rsidR="007F1392">
        <w:t xml:space="preserve"> </w:t>
      </w:r>
      <w:r w:rsidR="00767553">
        <w:t>Crime report</w:t>
      </w:r>
    </w:p>
    <w:p w:rsidR="00833EDE" w:rsidRDefault="00833EDE" w:rsidP="00833EDE">
      <w:r w:rsidRPr="00EC292B">
        <w:rPr>
          <w:b/>
        </w:rPr>
        <w:t>Summary</w:t>
      </w:r>
      <w:r>
        <w:t xml:space="preserve"> – </w:t>
      </w:r>
      <w:r w:rsidR="00767553">
        <w:t>Victim has received threats by phone from a fellow student for the p</w:t>
      </w:r>
      <w:r w:rsidR="003C2967">
        <w:t>ast three years, the victim</w:t>
      </w:r>
      <w:r w:rsidR="00767553">
        <w:t xml:space="preserve"> changed her phone number on a number of occasions but the offender persisted in obtaining these</w:t>
      </w:r>
      <w:r w:rsidR="003C2967">
        <w:t xml:space="preserve"> to continue the abuse</w:t>
      </w:r>
      <w:r w:rsidR="00767553">
        <w:t xml:space="preserve">.  The last threats made </w:t>
      </w:r>
      <w:r w:rsidR="003C2967">
        <w:t xml:space="preserve">by the offender were </w:t>
      </w:r>
      <w:r w:rsidR="00767553">
        <w:t>that she was going to stab the victim and bomb her home.</w:t>
      </w:r>
    </w:p>
    <w:p w:rsidR="00062A2F" w:rsidRDefault="00833EDE" w:rsidP="00410705">
      <w:r w:rsidRPr="00EC292B">
        <w:rPr>
          <w:b/>
        </w:rPr>
        <w:t>Observations</w:t>
      </w:r>
      <w:r>
        <w:t xml:space="preserve"> – </w:t>
      </w:r>
      <w:r w:rsidR="003C2967">
        <w:t>The majority of panel members agreed that this was a suitable disposal but that the crime was closed incorrectly, a mediation meeting had been held at the school and therefore this should be disposed of as RJ Level Two. One panel member felt that the victim and her family had not been given the correct level of consideration within this disposal – the ongoing bullying had lasted a considerable amount of time, escalating to threats of violence from the offender before the Police became involved.</w:t>
      </w:r>
    </w:p>
    <w:p w:rsidR="00205499" w:rsidRDefault="00205499"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5</w:t>
      </w:r>
      <w:r w:rsidR="007F1392">
        <w:t>:</w:t>
      </w:r>
      <w:r w:rsidR="00205499">
        <w:t xml:space="preserve"> 35151/20 – Assault ABH</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w:t>
      </w:r>
      <w:r w:rsidR="00205499">
        <w:t xml:space="preserve"> Youth Diversionary</w:t>
      </w:r>
    </w:p>
    <w:p w:rsidR="0053034B"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t>Female Offender</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493E48">
        <w:t xml:space="preserve">:  </w:t>
      </w:r>
      <w:r w:rsidR="0053034B">
        <w:t>1</w:t>
      </w:r>
    </w:p>
    <w:p w:rsidR="00493E48" w:rsidRDefault="00493E48" w:rsidP="00493E48">
      <w:r w:rsidRPr="00EC292B">
        <w:rPr>
          <w:b/>
        </w:rPr>
        <w:t>Documents reviewed</w:t>
      </w:r>
      <w:r w:rsidR="007F1392">
        <w:t xml:space="preserve"> </w:t>
      </w:r>
      <w:r w:rsidR="00767553">
        <w:t>–</w:t>
      </w:r>
      <w:r w:rsidR="007F1392">
        <w:t xml:space="preserve"> </w:t>
      </w:r>
      <w:r w:rsidR="00767553">
        <w:t>Crime report and MG6</w:t>
      </w:r>
    </w:p>
    <w:p w:rsidR="00493E48" w:rsidRDefault="00493E48" w:rsidP="00493E48">
      <w:r w:rsidRPr="00EC292B">
        <w:rPr>
          <w:b/>
        </w:rPr>
        <w:t>Summary</w:t>
      </w:r>
      <w:r>
        <w:t xml:space="preserve"> – </w:t>
      </w:r>
      <w:r w:rsidR="003C2967">
        <w:t>A physical fight in the High S</w:t>
      </w:r>
      <w:r w:rsidR="00767553">
        <w:t>treet be</w:t>
      </w:r>
      <w:r w:rsidR="003C2967">
        <w:t>tween friends who had</w:t>
      </w:r>
      <w:r w:rsidR="00767553">
        <w:t xml:space="preserve"> fallen out.  Attack witnessed by Police and evidenced on CCTV.</w:t>
      </w:r>
    </w:p>
    <w:p w:rsidR="00410705" w:rsidRDefault="00493E48" w:rsidP="00410705">
      <w:r w:rsidRPr="00EC292B">
        <w:rPr>
          <w:b/>
        </w:rPr>
        <w:t>Observations</w:t>
      </w:r>
      <w:r>
        <w:t xml:space="preserve"> – </w:t>
      </w:r>
      <w:r w:rsidR="003C2967">
        <w:t>All panel members agreed that this was a suitable disposal for the offender, who has a complex home life and there were concerns surrounding her mental health. Working with the Youth Support Team will provide the necessary support and will attempt to address her offending behaviour.</w:t>
      </w:r>
    </w:p>
    <w:p w:rsidR="003C2967" w:rsidRDefault="003C2967" w:rsidP="00410705"/>
    <w:p w:rsidR="00205499" w:rsidRDefault="00205499"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lastRenderedPageBreak/>
        <w:t xml:space="preserve">Case </w:t>
      </w:r>
      <w:r>
        <w:rPr>
          <w:b/>
        </w:rPr>
        <w:t>6</w:t>
      </w:r>
      <w:r>
        <w:t>:</w:t>
      </w:r>
      <w:r w:rsidR="00205499">
        <w:t xml:space="preserve"> 14912/20 – Criminal Damage (Under £5k)</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w:t>
      </w:r>
      <w:r w:rsidR="00205499">
        <w:t xml:space="preserve"> Youth Caution</w:t>
      </w:r>
    </w:p>
    <w:p w:rsidR="0053034B"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t>Female Offender</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53034B">
        <w:t>: 2</w:t>
      </w:r>
    </w:p>
    <w:p w:rsidR="00493E48" w:rsidRDefault="00493E48" w:rsidP="00493E48">
      <w:r w:rsidRPr="00EC292B">
        <w:rPr>
          <w:b/>
        </w:rPr>
        <w:t>Documents reviewed</w:t>
      </w:r>
      <w:r w:rsidR="007F1392">
        <w:t xml:space="preserve"> </w:t>
      </w:r>
      <w:r w:rsidR="00767553">
        <w:t>–</w:t>
      </w:r>
      <w:r w:rsidR="007F1392">
        <w:t xml:space="preserve"> </w:t>
      </w:r>
      <w:r w:rsidR="00767553">
        <w:t>Crime report and MG3</w:t>
      </w:r>
    </w:p>
    <w:p w:rsidR="00767553" w:rsidRDefault="00493E48" w:rsidP="00493E48">
      <w:r w:rsidRPr="00EC292B">
        <w:rPr>
          <w:b/>
        </w:rPr>
        <w:t>Summary</w:t>
      </w:r>
      <w:r>
        <w:t xml:space="preserve"> – </w:t>
      </w:r>
      <w:r w:rsidR="00767553">
        <w:t>Whilst in a foster care placement the offender has caused damage to property belonging to her foster carer on two separate occasions.</w:t>
      </w:r>
    </w:p>
    <w:p w:rsidR="00493E48" w:rsidRDefault="00493E48" w:rsidP="00410705">
      <w:r w:rsidRPr="00EC292B">
        <w:rPr>
          <w:b/>
        </w:rPr>
        <w:t>Observations</w:t>
      </w:r>
      <w:r>
        <w:t xml:space="preserve"> – </w:t>
      </w:r>
      <w:r w:rsidR="003C2967">
        <w:t>This was a decision reached by the CPS as a separate offence of poisoning (indictable only) had been sent to them for a charging decision but no further action was taken with regard to this. The majority of panel members scored this a two with comment made that the criminal damage offence should have been returned to the Children’s First panel and the necessary support could then have been given to the offender to address her offending behaviour.</w:t>
      </w:r>
    </w:p>
    <w:p w:rsidR="00205499" w:rsidRDefault="00205499"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7</w:t>
      </w:r>
      <w:r>
        <w:t xml:space="preserve">: </w:t>
      </w:r>
      <w:r w:rsidR="00205499">
        <w:t>33927/20 – Common Assault of Emergency Worker</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205499">
        <w:t>Youth Diversionary</w:t>
      </w:r>
    </w:p>
    <w:p w:rsidR="0053034B"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t>Female Offender</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493E48">
        <w:t xml:space="preserve">:  </w:t>
      </w:r>
      <w:r w:rsidR="0053034B">
        <w:t>1</w:t>
      </w:r>
    </w:p>
    <w:p w:rsidR="00493E48" w:rsidRDefault="00493E48" w:rsidP="00493E48">
      <w:r w:rsidRPr="00EC292B">
        <w:rPr>
          <w:b/>
        </w:rPr>
        <w:t>Documents reviewed</w:t>
      </w:r>
      <w:r w:rsidR="007F1392">
        <w:t xml:space="preserve"> </w:t>
      </w:r>
      <w:r w:rsidR="00767553">
        <w:t>–</w:t>
      </w:r>
      <w:r w:rsidR="007F1392">
        <w:t xml:space="preserve"> </w:t>
      </w:r>
      <w:r w:rsidR="00767553">
        <w:t>Crime report and MG6</w:t>
      </w:r>
    </w:p>
    <w:p w:rsidR="00493E48" w:rsidRDefault="00493E48" w:rsidP="00493E48">
      <w:r w:rsidRPr="00EC292B">
        <w:rPr>
          <w:b/>
        </w:rPr>
        <w:t>Summary</w:t>
      </w:r>
      <w:r>
        <w:t xml:space="preserve"> – </w:t>
      </w:r>
      <w:r w:rsidR="00767553">
        <w:t xml:space="preserve">Report received by Police that there was a disturbance outside a property in the street and the occupants required assistance in moving these individuals away from the area. A female officer was dispatched single-crewed and she found a large group of youths outside of the property causing a nuisance.  They </w:t>
      </w:r>
      <w:r w:rsidR="003C2967">
        <w:t>were asked to leave the area,</w:t>
      </w:r>
      <w:r w:rsidR="00767553">
        <w:t xml:space="preserve"> one of the group came towards the officer and threatened to punch her on three</w:t>
      </w:r>
      <w:r w:rsidR="003C2967">
        <w:t xml:space="preserve"> separate</w:t>
      </w:r>
      <w:r w:rsidR="00767553">
        <w:t xml:space="preserve"> occasions, the officer drew her </w:t>
      </w:r>
      <w:r w:rsidR="003C2967">
        <w:t>Taser</w:t>
      </w:r>
      <w:r w:rsidR="00767553">
        <w:t xml:space="preserve"> as she feared the threat would be carried ou</w:t>
      </w:r>
      <w:r w:rsidR="003C2967">
        <w:t>t</w:t>
      </w:r>
      <w:r w:rsidR="00767553">
        <w:t>.</w:t>
      </w:r>
    </w:p>
    <w:p w:rsidR="00062A2F" w:rsidRDefault="00493E48" w:rsidP="00410705">
      <w:r w:rsidRPr="00EC292B">
        <w:rPr>
          <w:b/>
        </w:rPr>
        <w:t>Observations</w:t>
      </w:r>
      <w:r>
        <w:t xml:space="preserve"> – </w:t>
      </w:r>
      <w:r w:rsidR="003C2967">
        <w:t>All panel members agreed that this was a suitable disposal however a number of members raised the point that the views of the victim were not recorded anywhere on the crime report nor MG6.</w:t>
      </w:r>
    </w:p>
    <w:p w:rsidR="00205499" w:rsidRDefault="00205499"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8</w:t>
      </w:r>
      <w:r w:rsidR="007F1392">
        <w:t xml:space="preserve">: </w:t>
      </w:r>
      <w:r w:rsidR="00303F93">
        <w:t>30516/20 – Criminal Damage (Under £5k)</w:t>
      </w:r>
      <w:r w:rsidR="00205499">
        <w:t xml:space="preserve"> </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303F93">
        <w:t>RJ Level 1</w:t>
      </w:r>
    </w:p>
    <w:p w:rsidR="0053034B"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t>Female Offender</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493E48">
        <w:t xml:space="preserve">:  </w:t>
      </w:r>
      <w:r w:rsidR="0053034B">
        <w:t>1</w:t>
      </w:r>
    </w:p>
    <w:p w:rsidR="00493E48" w:rsidRDefault="00493E48" w:rsidP="00493E48">
      <w:r w:rsidRPr="00EC292B">
        <w:rPr>
          <w:b/>
        </w:rPr>
        <w:t>Documents reviewed</w:t>
      </w:r>
      <w:r w:rsidR="007F1392">
        <w:t xml:space="preserve"> </w:t>
      </w:r>
      <w:r w:rsidR="00303F93">
        <w:t>– Crime report</w:t>
      </w:r>
    </w:p>
    <w:p w:rsidR="00493E48" w:rsidRDefault="00493E48" w:rsidP="00493E48">
      <w:r w:rsidRPr="00EC292B">
        <w:rPr>
          <w:b/>
        </w:rPr>
        <w:lastRenderedPageBreak/>
        <w:t>Summary</w:t>
      </w:r>
      <w:r>
        <w:t xml:space="preserve"> – </w:t>
      </w:r>
      <w:r w:rsidR="00303F93">
        <w:t xml:space="preserve">The victim was sat parked in her car waiting for a friend to arrive home, she felt a bump towards the rear of her car and on checking the mirrors observed two young girls, one of whom was scratching the paintwork with an unknown item. </w:t>
      </w:r>
    </w:p>
    <w:p w:rsidR="00062A2F" w:rsidRDefault="00493E48" w:rsidP="00410705">
      <w:r w:rsidRPr="00EC292B">
        <w:rPr>
          <w:b/>
        </w:rPr>
        <w:t>Observations</w:t>
      </w:r>
      <w:r>
        <w:t xml:space="preserve"> – </w:t>
      </w:r>
      <w:r w:rsidR="003C2967">
        <w:t>All panel members stated that this was a suitable disposal with the young girl completing household chores for her mother, in lieu of money she had to give to the victim to repair her car. Comment was made that this was a good investigation by the officer in the case.</w:t>
      </w:r>
    </w:p>
    <w:p w:rsidR="003C2967" w:rsidRDefault="003C2967"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9</w:t>
      </w:r>
      <w:r w:rsidR="007F1392">
        <w:t xml:space="preserve">: </w:t>
      </w:r>
      <w:r w:rsidR="00205499">
        <w:t>42144/20 – Commercial Burglary</w:t>
      </w:r>
      <w:r w:rsidR="007F1392">
        <w:t xml:space="preserve"> </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205499">
        <w:t>RJ Level One</w:t>
      </w:r>
    </w:p>
    <w:p w:rsidR="0053034B"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t>Female Offender</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493E48">
        <w:t xml:space="preserve">:  </w:t>
      </w:r>
      <w:r w:rsidR="0053034B">
        <w:t>1</w:t>
      </w:r>
    </w:p>
    <w:p w:rsidR="00493E48" w:rsidRDefault="00493E48" w:rsidP="00493E48">
      <w:r w:rsidRPr="00EC292B">
        <w:rPr>
          <w:b/>
        </w:rPr>
        <w:t>Documents reviewed</w:t>
      </w:r>
      <w:r w:rsidR="007F1392">
        <w:t xml:space="preserve"> </w:t>
      </w:r>
      <w:r w:rsidR="00303F93">
        <w:t>–</w:t>
      </w:r>
      <w:r w:rsidR="007F1392">
        <w:t xml:space="preserve"> </w:t>
      </w:r>
      <w:r w:rsidR="00303F93">
        <w:t>Crime report</w:t>
      </w:r>
    </w:p>
    <w:p w:rsidR="00493E48" w:rsidRDefault="00493E48" w:rsidP="00493E48">
      <w:r w:rsidRPr="00EC292B">
        <w:rPr>
          <w:b/>
        </w:rPr>
        <w:t>Summary</w:t>
      </w:r>
      <w:r>
        <w:t xml:space="preserve"> – </w:t>
      </w:r>
      <w:r w:rsidR="00303F93">
        <w:t>Four local youths have entered farm buildings without the owner’s permission and thrown stones at the glass windows causing damage.  Found by Police committing the crime.</w:t>
      </w:r>
    </w:p>
    <w:p w:rsidR="00493E48" w:rsidRDefault="00493E48" w:rsidP="00410705">
      <w:r w:rsidRPr="00EC292B">
        <w:rPr>
          <w:b/>
        </w:rPr>
        <w:t>Observations</w:t>
      </w:r>
      <w:r>
        <w:t xml:space="preserve"> – </w:t>
      </w:r>
      <w:r w:rsidR="003C2967">
        <w:t>All panel members agreed that this was a suitable disposal going along with the victim’s wishes of a letter of apology from the offenders involved.  The officer in the case had liaised with PS ROGER’S from Children’s First to discuss the disposal prior to it being ratified.</w:t>
      </w:r>
    </w:p>
    <w:p w:rsidR="00205499" w:rsidRDefault="00205499" w:rsidP="00410705"/>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sidR="00205499">
        <w:rPr>
          <w:b/>
        </w:rPr>
        <w:t>1</w:t>
      </w:r>
      <w:r>
        <w:rPr>
          <w:b/>
        </w:rPr>
        <w:t>0</w:t>
      </w:r>
      <w:r w:rsidR="007F1392">
        <w:t xml:space="preserve">: </w:t>
      </w:r>
      <w:r w:rsidR="00205499">
        <w:t>30738/20</w:t>
      </w:r>
      <w:r w:rsidR="007F1392">
        <w:t xml:space="preserve"> </w:t>
      </w:r>
      <w:r w:rsidR="00205499">
        <w:t>– Assault ABH</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205499">
        <w:t>Youth Diversionary</w:t>
      </w:r>
    </w:p>
    <w:p w:rsidR="0053034B" w:rsidRDefault="0053034B"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t>Female Offender</w:t>
      </w:r>
    </w:p>
    <w:p w:rsidR="00410705" w:rsidRDefault="00410705" w:rsidP="0041070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493E48">
        <w:t xml:space="preserve">:  </w:t>
      </w:r>
      <w:r w:rsidR="0053034B">
        <w:t>1</w:t>
      </w:r>
    </w:p>
    <w:p w:rsidR="00493E48" w:rsidRDefault="00493E48" w:rsidP="00493E48">
      <w:r w:rsidRPr="00EC292B">
        <w:rPr>
          <w:b/>
        </w:rPr>
        <w:t>Documents reviewed</w:t>
      </w:r>
      <w:r w:rsidR="007F1392">
        <w:t xml:space="preserve"> </w:t>
      </w:r>
      <w:r w:rsidR="00303F93">
        <w:t>–</w:t>
      </w:r>
      <w:r w:rsidR="007F1392">
        <w:t xml:space="preserve"> </w:t>
      </w:r>
      <w:r w:rsidR="00303F93">
        <w:t>Crime report and MG6</w:t>
      </w:r>
    </w:p>
    <w:p w:rsidR="00493E48" w:rsidRDefault="00493E48" w:rsidP="00493E48">
      <w:r w:rsidRPr="00EC292B">
        <w:rPr>
          <w:b/>
        </w:rPr>
        <w:t>Summary</w:t>
      </w:r>
      <w:r>
        <w:t xml:space="preserve"> – </w:t>
      </w:r>
      <w:r w:rsidR="003C2967">
        <w:t>Dispute between victim and two offenders</w:t>
      </w:r>
      <w:r w:rsidR="00303F93">
        <w:t>, as a result of the victim supposedly spreading rumours about one of the accused parties. The victim’s hair was pulled and she was placed in a headlock and then punched to the face a number of times.  This was committed in the main street in full view of members of the public.</w:t>
      </w:r>
    </w:p>
    <w:p w:rsidR="00493E48" w:rsidRDefault="00493E48" w:rsidP="00493E48">
      <w:r w:rsidRPr="00EC292B">
        <w:rPr>
          <w:b/>
        </w:rPr>
        <w:t>Observations</w:t>
      </w:r>
      <w:r>
        <w:t xml:space="preserve"> – </w:t>
      </w:r>
      <w:r w:rsidR="003C2967">
        <w:t>This was sent to Restorative Gloucestershire to complete mediation between the parties involved however there was no engagement from the victim nor the offender and this case has been returned to the Children’s First Panel for YST to take the lead with engagement. All panel members agreed this was a suitable disposal in the circumstances.</w:t>
      </w:r>
    </w:p>
    <w:p w:rsidR="00205499" w:rsidRDefault="00205499" w:rsidP="00205499"/>
    <w:p w:rsidR="003C2967" w:rsidRDefault="003C2967" w:rsidP="00205499">
      <w:pPr>
        <w:jc w:val="center"/>
        <w:rPr>
          <w:b/>
          <w:u w:val="single"/>
        </w:rPr>
      </w:pPr>
    </w:p>
    <w:p w:rsidR="002E7C0A" w:rsidRDefault="002A0F81" w:rsidP="00205499">
      <w:pPr>
        <w:jc w:val="center"/>
        <w:rPr>
          <w:b/>
          <w:u w:val="single"/>
        </w:rPr>
      </w:pPr>
      <w:r>
        <w:rPr>
          <w:b/>
          <w:u w:val="single"/>
        </w:rPr>
        <w:lastRenderedPageBreak/>
        <w:t>CONCLUSIONS</w:t>
      </w:r>
    </w:p>
    <w:p w:rsidR="008B0CA6" w:rsidRDefault="008B0CA6" w:rsidP="008B0CA6">
      <w:pPr>
        <w:jc w:val="center"/>
        <w:rPr>
          <w:b/>
          <w:u w:val="single"/>
        </w:rPr>
      </w:pPr>
    </w:p>
    <w:p w:rsidR="0095132D" w:rsidRDefault="003C2967" w:rsidP="00420DF2">
      <w:r>
        <w:t xml:space="preserve">From the 10 </w:t>
      </w:r>
      <w:r w:rsidR="0095132D">
        <w:t>cases discussed at panel the following results were obtained</w:t>
      </w:r>
      <w:r>
        <w:t xml:space="preserve"> with approximately 100 </w:t>
      </w:r>
      <w:r w:rsidR="00871C70">
        <w:t>% of cases receiving a score of 1 or 2</w:t>
      </w:r>
      <w:r w:rsidR="0095132D">
        <w:t>:</w:t>
      </w:r>
    </w:p>
    <w:p w:rsidR="0095132D" w:rsidRDefault="0095132D" w:rsidP="0095132D">
      <w:r>
        <w:rPr>
          <w:b/>
        </w:rPr>
        <w:t xml:space="preserve">1 </w:t>
      </w:r>
      <w:r>
        <w:t>= Appropriat</w:t>
      </w:r>
      <w:r w:rsidR="00493E48">
        <w:t xml:space="preserve">e and consistent with policy – </w:t>
      </w:r>
      <w:r w:rsidR="003C2967">
        <w:t>8</w:t>
      </w:r>
      <w:r>
        <w:t xml:space="preserve"> cases</w:t>
      </w:r>
    </w:p>
    <w:p w:rsidR="0095132D" w:rsidRDefault="0095132D" w:rsidP="0095132D">
      <w:r>
        <w:rPr>
          <w:b/>
        </w:rPr>
        <w:t>2</w:t>
      </w:r>
      <w:r>
        <w:t xml:space="preserve"> = A</w:t>
      </w:r>
      <w:r w:rsidR="00493E48">
        <w:t xml:space="preserve">ppropriate with observations – </w:t>
      </w:r>
      <w:r w:rsidR="003C2967">
        <w:t>2</w:t>
      </w:r>
      <w:r>
        <w:t xml:space="preserve"> cases</w:t>
      </w:r>
    </w:p>
    <w:p w:rsidR="0095132D" w:rsidRDefault="0095132D" w:rsidP="0095132D">
      <w:r>
        <w:rPr>
          <w:b/>
        </w:rPr>
        <w:t xml:space="preserve">3 </w:t>
      </w:r>
      <w:r>
        <w:t xml:space="preserve">= Inappropriate </w:t>
      </w:r>
      <w:r w:rsidR="00493E48">
        <w:t xml:space="preserve">and inconsistent with policy – </w:t>
      </w:r>
      <w:r w:rsidR="003C2967">
        <w:t>0</w:t>
      </w:r>
      <w:r>
        <w:t xml:space="preserve"> cases</w:t>
      </w:r>
    </w:p>
    <w:p w:rsidR="0095132D" w:rsidRPr="0095132D" w:rsidRDefault="0095132D" w:rsidP="00420DF2">
      <w:r>
        <w:rPr>
          <w:b/>
        </w:rPr>
        <w:t>4</w:t>
      </w:r>
      <w:r>
        <w:t xml:space="preserve"> = Pane</w:t>
      </w:r>
      <w:r w:rsidR="00493E48">
        <w:t xml:space="preserve">l unable to reach a decision – </w:t>
      </w:r>
      <w:r w:rsidR="003C2967">
        <w:t>0</w:t>
      </w:r>
      <w:r>
        <w:t xml:space="preserve"> cases</w:t>
      </w:r>
    </w:p>
    <w:p w:rsidR="003C2967" w:rsidRDefault="003C2967" w:rsidP="00420DF2">
      <w:r>
        <w:t>All investigating officers and their line managers will be provided with a copy of this report to ensure that they are aware that their case was discussed at panel.</w:t>
      </w:r>
    </w:p>
    <w:p w:rsidR="00493E48" w:rsidRDefault="007F1392" w:rsidP="00420DF2">
      <w:r>
        <w:t xml:space="preserve">Chief Inspector of CJD </w:t>
      </w:r>
      <w:r w:rsidR="002E7C0A">
        <w:t>will es</w:t>
      </w:r>
      <w:r w:rsidR="003C2967">
        <w:t>tablish contact with individuals</w:t>
      </w:r>
      <w:r w:rsidR="002E7C0A">
        <w:t xml:space="preserve"> for all cases that obtained scores</w:t>
      </w:r>
      <w:r w:rsidR="00D20AEA">
        <w:t xml:space="preserve"> of</w:t>
      </w:r>
      <w:r w:rsidR="00E1146F">
        <w:t xml:space="preserve"> </w:t>
      </w:r>
      <w:r w:rsidR="003C2967">
        <w:t xml:space="preserve">3 or 4 to </w:t>
      </w:r>
      <w:r w:rsidR="00D20AEA">
        <w:t xml:space="preserve">provide </w:t>
      </w:r>
      <w:r w:rsidR="003C2967">
        <w:t xml:space="preserve">specific feedback and </w:t>
      </w:r>
      <w:r w:rsidR="00D20AEA">
        <w:t xml:space="preserve">guidance.  </w:t>
      </w:r>
    </w:p>
    <w:sectPr w:rsidR="00493E48" w:rsidSect="005547C0">
      <w:headerReference w:type="default" r:id="rId8"/>
      <w:footerReference w:type="default" r:id="rId9"/>
      <w:headerReference w:type="first" r:id="rId10"/>
      <w:footerReference w:type="first" r:id="rId11"/>
      <w:pgSz w:w="11906" w:h="16838" w:code="9"/>
      <w:pgMar w:top="709" w:right="1134" w:bottom="709" w:left="1134"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CDB" w:rsidRDefault="00230CDB" w:rsidP="006E7CFE">
      <w:r>
        <w:separator/>
      </w:r>
    </w:p>
  </w:endnote>
  <w:endnote w:type="continuationSeparator" w:id="0">
    <w:p w:rsidR="00230CDB" w:rsidRDefault="00230CDB" w:rsidP="006E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0D" w:rsidRDefault="00222E0D" w:rsidP="00744492">
    <w:pPr>
      <w:pStyle w:val="Footer"/>
      <w:pBdr>
        <w:bottom w:val="single" w:sz="8" w:space="1" w:color="003E7E"/>
      </w:pBdr>
    </w:pPr>
  </w:p>
  <w:tbl>
    <w:tblPr>
      <w:tblStyle w:val="TableGrid"/>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2656"/>
      <w:gridCol w:w="2994"/>
    </w:tblGrid>
    <w:tr w:rsidR="00222E0D" w:rsidRPr="004438B2" w:rsidTr="00AD497C">
      <w:trPr>
        <w:trHeight w:val="283"/>
      </w:trPr>
      <w:tc>
        <w:tcPr>
          <w:tcW w:w="2037" w:type="pct"/>
          <w:vAlign w:val="center"/>
        </w:tcPr>
        <w:p w:rsidR="00222E0D" w:rsidRPr="004438B2" w:rsidRDefault="005058A4" w:rsidP="00F902D5">
          <w:pPr>
            <w:pStyle w:val="Footer"/>
            <w:rPr>
              <w:rFonts w:cs="Arial"/>
              <w:color w:val="808080" w:themeColor="background1" w:themeShade="80"/>
              <w:sz w:val="18"/>
              <w:szCs w:val="18"/>
              <w:highlight w:val="yellow"/>
            </w:rPr>
          </w:pPr>
          <w:sdt>
            <w:sdtPr>
              <w:rPr>
                <w:rFonts w:cs="Arial"/>
                <w:color w:val="808080" w:themeColor="background1" w:themeShade="80"/>
                <w:sz w:val="18"/>
                <w:szCs w:val="18"/>
              </w:rPr>
              <w:id w:val="-1256510538"/>
              <w:lock w:val="sdtContentLocked"/>
              <w:text/>
            </w:sdtPr>
            <w:sdtEndPr/>
            <w:sdtContent>
              <w:r w:rsidR="00222E0D" w:rsidRPr="004438B2">
                <w:rPr>
                  <w:rFonts w:cs="Arial"/>
                  <w:color w:val="808080" w:themeColor="background1" w:themeShade="80"/>
                  <w:sz w:val="18"/>
                  <w:szCs w:val="18"/>
                </w:rPr>
                <w:t>Security classification:</w:t>
              </w:r>
            </w:sdtContent>
          </w:sdt>
          <w:r w:rsidR="00222E0D" w:rsidRPr="004438B2">
            <w:rPr>
              <w:rFonts w:cs="Arial"/>
              <w:color w:val="808080" w:themeColor="background1" w:themeShade="80"/>
              <w:sz w:val="18"/>
              <w:szCs w:val="18"/>
            </w:rPr>
            <w:t xml:space="preserve"> </w:t>
          </w:r>
          <w:sdt>
            <w:sdtPr>
              <w:rPr>
                <w:rFonts w:cs="Arial"/>
                <w:color w:val="808080" w:themeColor="background1" w:themeShade="80"/>
                <w:sz w:val="18"/>
                <w:szCs w:val="18"/>
              </w:rPr>
              <w:id w:val="-45455751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222E0D" w:rsidRPr="004E3FB4">
                <w:rPr>
                  <w:rFonts w:cs="Arial"/>
                  <w:color w:val="808080" w:themeColor="background1" w:themeShade="80"/>
                  <w:sz w:val="18"/>
                  <w:szCs w:val="18"/>
                  <w:highlight w:val="yellow"/>
                </w:rPr>
                <w:t>Official</w:t>
              </w:r>
            </w:sdtContent>
          </w:sdt>
        </w:p>
      </w:tc>
      <w:tc>
        <w:tcPr>
          <w:tcW w:w="1393" w:type="pct"/>
          <w:vAlign w:val="center"/>
        </w:tcPr>
        <w:p w:rsidR="00222E0D" w:rsidRPr="004438B2" w:rsidRDefault="00222E0D" w:rsidP="00C82FB2">
          <w:pPr>
            <w:ind w:right="-14"/>
            <w:jc w:val="center"/>
            <w:rPr>
              <w:color w:val="808080" w:themeColor="background1" w:themeShade="80"/>
              <w:sz w:val="18"/>
              <w:szCs w:val="18"/>
              <w:highlight w:val="yellow"/>
            </w:rPr>
          </w:pPr>
        </w:p>
      </w:tc>
      <w:tc>
        <w:tcPr>
          <w:tcW w:w="1570" w:type="pct"/>
          <w:vAlign w:val="center"/>
        </w:tcPr>
        <w:p w:rsidR="00222E0D" w:rsidRPr="004438B2" w:rsidRDefault="00222E0D" w:rsidP="00AD497C">
          <w:pPr>
            <w:pStyle w:val="Footer"/>
            <w:ind w:right="-107"/>
            <w:jc w:val="right"/>
            <w:rPr>
              <w:rFonts w:cs="Arial"/>
              <w:color w:val="808080" w:themeColor="background1" w:themeShade="80"/>
              <w:sz w:val="18"/>
              <w:szCs w:val="18"/>
            </w:rPr>
          </w:pPr>
          <w:r w:rsidRPr="004438B2">
            <w:rPr>
              <w:color w:val="808080" w:themeColor="background1" w:themeShade="80"/>
              <w:sz w:val="18"/>
              <w:szCs w:val="18"/>
            </w:rPr>
            <w:t xml:space="preserve">Page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PAGE   \* MERGEFORMAT </w:instrText>
          </w:r>
          <w:r w:rsidRPr="004438B2">
            <w:rPr>
              <w:color w:val="808080" w:themeColor="background1" w:themeShade="80"/>
              <w:sz w:val="18"/>
              <w:szCs w:val="18"/>
            </w:rPr>
            <w:fldChar w:fldCharType="separate"/>
          </w:r>
          <w:r w:rsidR="005058A4">
            <w:rPr>
              <w:noProof/>
              <w:color w:val="808080" w:themeColor="background1" w:themeShade="80"/>
              <w:sz w:val="18"/>
              <w:szCs w:val="18"/>
            </w:rPr>
            <w:t>2</w:t>
          </w:r>
          <w:r w:rsidRPr="004438B2">
            <w:rPr>
              <w:color w:val="808080" w:themeColor="background1" w:themeShade="80"/>
              <w:sz w:val="18"/>
              <w:szCs w:val="18"/>
            </w:rPr>
            <w:fldChar w:fldCharType="end"/>
          </w:r>
          <w:r w:rsidRPr="004438B2">
            <w:rPr>
              <w:color w:val="808080" w:themeColor="background1" w:themeShade="80"/>
              <w:sz w:val="18"/>
              <w:szCs w:val="18"/>
            </w:rPr>
            <w:t xml:space="preserve"> of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NUMPAGES   \* MERGEFORMAT </w:instrText>
          </w:r>
          <w:r w:rsidRPr="004438B2">
            <w:rPr>
              <w:color w:val="808080" w:themeColor="background1" w:themeShade="80"/>
              <w:sz w:val="18"/>
              <w:szCs w:val="18"/>
            </w:rPr>
            <w:fldChar w:fldCharType="separate"/>
          </w:r>
          <w:r w:rsidR="005058A4">
            <w:rPr>
              <w:noProof/>
              <w:color w:val="808080" w:themeColor="background1" w:themeShade="80"/>
              <w:sz w:val="18"/>
              <w:szCs w:val="18"/>
            </w:rPr>
            <w:t>6</w:t>
          </w:r>
          <w:r w:rsidRPr="004438B2">
            <w:rPr>
              <w:color w:val="808080" w:themeColor="background1" w:themeShade="80"/>
              <w:sz w:val="18"/>
              <w:szCs w:val="18"/>
            </w:rPr>
            <w:fldChar w:fldCharType="end"/>
          </w:r>
        </w:p>
      </w:tc>
    </w:tr>
  </w:tbl>
  <w:p w:rsidR="00222E0D" w:rsidRPr="00E37A1A" w:rsidRDefault="00222E0D" w:rsidP="00E37A1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0D" w:rsidRDefault="00222E0D" w:rsidP="00744492">
    <w:pPr>
      <w:pStyle w:val="Footer"/>
      <w:pBdr>
        <w:bottom w:val="single" w:sz="8" w:space="1" w:color="003E7E"/>
      </w:pBdr>
      <w:jc w:val="cen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428"/>
      <w:gridCol w:w="3140"/>
    </w:tblGrid>
    <w:tr w:rsidR="00222E0D" w:rsidTr="00A14753">
      <w:trPr>
        <w:trHeight w:val="283"/>
      </w:trPr>
      <w:tc>
        <w:tcPr>
          <w:tcW w:w="1074" w:type="pct"/>
          <w:vAlign w:val="center"/>
        </w:tcPr>
        <w:sdt>
          <w:sdtPr>
            <w:rPr>
              <w:rFonts w:cs="Arial"/>
              <w:color w:val="808080" w:themeColor="background1" w:themeShade="80"/>
              <w:sz w:val="18"/>
              <w:szCs w:val="18"/>
            </w:rPr>
            <w:id w:val="737675702"/>
            <w:lock w:val="sdtContentLocked"/>
            <w:text/>
          </w:sdtPr>
          <w:sdtEndPr/>
          <w:sdtContent>
            <w:p w:rsidR="00222E0D" w:rsidRPr="00E37A1A" w:rsidRDefault="00222E0D" w:rsidP="00E37A1A">
              <w:pPr>
                <w:pStyle w:val="Footer"/>
                <w:rPr>
                  <w:rFonts w:cs="Arial"/>
                  <w:color w:val="808080" w:themeColor="background1" w:themeShade="80"/>
                  <w:sz w:val="18"/>
                  <w:szCs w:val="18"/>
                </w:rPr>
              </w:pPr>
              <w:r w:rsidRPr="00E37A1A">
                <w:rPr>
                  <w:rFonts w:cs="Arial"/>
                  <w:color w:val="808080" w:themeColor="background1" w:themeShade="80"/>
                  <w:sz w:val="18"/>
                  <w:szCs w:val="18"/>
                </w:rPr>
                <w:t xml:space="preserve">Version </w:t>
              </w:r>
              <w:r>
                <w:rPr>
                  <w:rFonts w:cs="Arial"/>
                  <w:color w:val="808080" w:themeColor="background1" w:themeShade="80"/>
                  <w:sz w:val="18"/>
                  <w:szCs w:val="18"/>
                </w:rPr>
                <w:t>n</w:t>
              </w:r>
              <w:r w:rsidRPr="00E37A1A">
                <w:rPr>
                  <w:rFonts w:cs="Arial"/>
                  <w:color w:val="808080" w:themeColor="background1" w:themeShade="80"/>
                  <w:sz w:val="18"/>
                  <w:szCs w:val="18"/>
                </w:rPr>
                <w:t>umber:</w:t>
              </w:r>
            </w:p>
          </w:sdtContent>
        </w:sdt>
      </w:tc>
      <w:tc>
        <w:tcPr>
          <w:tcW w:w="2297" w:type="pct"/>
          <w:vAlign w:val="center"/>
        </w:tcPr>
        <w:p w:rsidR="00222E0D" w:rsidRPr="00E37A1A" w:rsidRDefault="00222E0D" w:rsidP="00E37A1A">
          <w:pPr>
            <w:pStyle w:val="Footer"/>
            <w:rPr>
              <w:rFonts w:cs="Arial"/>
              <w:color w:val="808080" w:themeColor="background1" w:themeShade="80"/>
              <w:sz w:val="18"/>
              <w:szCs w:val="18"/>
            </w:rPr>
          </w:pPr>
          <w:r w:rsidRPr="00E37A1A">
            <w:rPr>
              <w:rFonts w:cs="Arial"/>
              <w:color w:val="808080" w:themeColor="background1" w:themeShade="80"/>
              <w:sz w:val="18"/>
              <w:szCs w:val="18"/>
            </w:rPr>
            <w:t>1.0</w:t>
          </w:r>
        </w:p>
      </w:tc>
      <w:tc>
        <w:tcPr>
          <w:tcW w:w="1630" w:type="pct"/>
          <w:vAlign w:val="center"/>
        </w:tcPr>
        <w:p w:rsidR="00222E0D" w:rsidRPr="00E37A1A" w:rsidRDefault="00222E0D" w:rsidP="005C45FC">
          <w:pPr>
            <w:pStyle w:val="Footer"/>
            <w:jc w:val="right"/>
            <w:rPr>
              <w:rFonts w:cs="Arial"/>
              <w:color w:val="808080" w:themeColor="background1" w:themeShade="80"/>
              <w:sz w:val="18"/>
              <w:szCs w:val="18"/>
            </w:rPr>
          </w:pPr>
        </w:p>
      </w:tc>
    </w:tr>
    <w:tr w:rsidR="00222E0D" w:rsidTr="00A14753">
      <w:trPr>
        <w:trHeight w:val="283"/>
      </w:trPr>
      <w:tc>
        <w:tcPr>
          <w:tcW w:w="1074" w:type="pct"/>
          <w:vAlign w:val="center"/>
        </w:tcPr>
        <w:sdt>
          <w:sdtPr>
            <w:rPr>
              <w:rFonts w:cs="Arial"/>
              <w:color w:val="808080" w:themeColor="background1" w:themeShade="80"/>
              <w:sz w:val="18"/>
              <w:szCs w:val="18"/>
            </w:rPr>
            <w:id w:val="-708729192"/>
            <w:lock w:val="sdtContentLocked"/>
            <w:text/>
          </w:sdtPr>
          <w:sdtEndPr/>
          <w:sdtContent>
            <w:p w:rsidR="00222E0D" w:rsidRPr="00E37A1A" w:rsidRDefault="00222E0D" w:rsidP="00E37A1A">
              <w:pPr>
                <w:pStyle w:val="Footer"/>
                <w:rPr>
                  <w:caps/>
                  <w:color w:val="808080" w:themeColor="background1" w:themeShade="80"/>
                  <w:sz w:val="18"/>
                  <w:szCs w:val="18"/>
                </w:rPr>
              </w:pPr>
              <w:r w:rsidRPr="00E37A1A">
                <w:rPr>
                  <w:rFonts w:cs="Arial"/>
                  <w:color w:val="808080" w:themeColor="background1" w:themeShade="80"/>
                  <w:sz w:val="18"/>
                  <w:szCs w:val="18"/>
                </w:rPr>
                <w:t>Date issued:</w:t>
              </w:r>
            </w:p>
          </w:sdtContent>
        </w:sdt>
      </w:tc>
      <w:tc>
        <w:tcPr>
          <w:tcW w:w="2297" w:type="pct"/>
          <w:vAlign w:val="center"/>
        </w:tcPr>
        <w:p w:rsidR="00222E0D" w:rsidRPr="005C45FC" w:rsidRDefault="00222E0D" w:rsidP="00E37A1A">
          <w:pPr>
            <w:pStyle w:val="Footer"/>
            <w:rPr>
              <w:caps/>
              <w:color w:val="808080" w:themeColor="background1" w:themeShade="80"/>
              <w:sz w:val="18"/>
              <w:szCs w:val="18"/>
            </w:rPr>
          </w:pPr>
          <w:r>
            <w:rPr>
              <w:rFonts w:cs="Arial"/>
              <w:color w:val="808080" w:themeColor="background1" w:themeShade="80"/>
              <w:sz w:val="18"/>
              <w:szCs w:val="18"/>
            </w:rPr>
            <w:t>Not applicable</w:t>
          </w:r>
        </w:p>
      </w:tc>
      <w:tc>
        <w:tcPr>
          <w:tcW w:w="1630" w:type="pct"/>
          <w:vAlign w:val="center"/>
        </w:tcPr>
        <w:p w:rsidR="00222E0D" w:rsidRPr="00E37A1A" w:rsidRDefault="00222E0D" w:rsidP="005C45FC">
          <w:pPr>
            <w:pStyle w:val="Footer"/>
            <w:jc w:val="right"/>
            <w:rPr>
              <w:rFonts w:cs="Arial"/>
              <w:color w:val="808080" w:themeColor="background1" w:themeShade="80"/>
              <w:sz w:val="18"/>
              <w:szCs w:val="18"/>
            </w:rPr>
          </w:pPr>
        </w:p>
      </w:tc>
    </w:tr>
    <w:tr w:rsidR="00222E0D" w:rsidTr="00A14753">
      <w:trPr>
        <w:trHeight w:val="283"/>
      </w:trPr>
      <w:tc>
        <w:tcPr>
          <w:tcW w:w="1074" w:type="pct"/>
          <w:vAlign w:val="center"/>
        </w:tcPr>
        <w:sdt>
          <w:sdtPr>
            <w:rPr>
              <w:rFonts w:cs="Arial"/>
              <w:color w:val="808080" w:themeColor="background1" w:themeShade="80"/>
              <w:sz w:val="18"/>
              <w:szCs w:val="18"/>
            </w:rPr>
            <w:id w:val="2117398806"/>
            <w:lock w:val="sdtContentLocked"/>
            <w:text/>
          </w:sdtPr>
          <w:sdtEndPr/>
          <w:sdtContent>
            <w:p w:rsidR="00222E0D" w:rsidRPr="00E37A1A" w:rsidRDefault="00222E0D" w:rsidP="00E37A1A">
              <w:pPr>
                <w:pStyle w:val="Footer"/>
                <w:rPr>
                  <w:caps/>
                  <w:color w:val="808080" w:themeColor="background1" w:themeShade="80"/>
                  <w:sz w:val="18"/>
                  <w:szCs w:val="18"/>
                </w:rPr>
              </w:pPr>
              <w:r w:rsidRPr="00E37A1A">
                <w:rPr>
                  <w:rFonts w:cs="Arial"/>
                  <w:color w:val="808080" w:themeColor="background1" w:themeShade="80"/>
                  <w:sz w:val="18"/>
                  <w:szCs w:val="18"/>
                </w:rPr>
                <w:t xml:space="preserve">Security </w:t>
              </w:r>
              <w:r>
                <w:rPr>
                  <w:rFonts w:cs="Arial"/>
                  <w:color w:val="808080" w:themeColor="background1" w:themeShade="80"/>
                  <w:sz w:val="18"/>
                  <w:szCs w:val="18"/>
                </w:rPr>
                <w:t>c</w:t>
              </w:r>
              <w:r w:rsidRPr="00E37A1A">
                <w:rPr>
                  <w:rFonts w:cs="Arial"/>
                  <w:color w:val="808080" w:themeColor="background1" w:themeShade="80"/>
                  <w:sz w:val="18"/>
                  <w:szCs w:val="18"/>
                </w:rPr>
                <w:t>lassification:</w:t>
              </w:r>
            </w:p>
          </w:sdtContent>
        </w:sdt>
      </w:tc>
      <w:tc>
        <w:tcPr>
          <w:tcW w:w="2297" w:type="pct"/>
          <w:vAlign w:val="center"/>
        </w:tcPr>
        <w:sdt>
          <w:sdtPr>
            <w:rPr>
              <w:rFonts w:cs="Arial"/>
              <w:color w:val="808080" w:themeColor="background1" w:themeShade="80"/>
              <w:sz w:val="18"/>
              <w:szCs w:val="18"/>
            </w:rPr>
            <w:id w:val="907654534"/>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p w:rsidR="00222E0D" w:rsidRPr="00E37A1A" w:rsidRDefault="00222E0D" w:rsidP="00E37A1A">
              <w:pPr>
                <w:pStyle w:val="Footer"/>
                <w:rPr>
                  <w:b/>
                  <w:caps/>
                  <w:color w:val="808080" w:themeColor="background1" w:themeShade="80"/>
                  <w:sz w:val="18"/>
                  <w:szCs w:val="18"/>
                </w:rPr>
              </w:pPr>
              <w:r w:rsidRPr="00665BF2">
                <w:rPr>
                  <w:rFonts w:cs="Arial"/>
                  <w:color w:val="808080" w:themeColor="background1" w:themeShade="80"/>
                  <w:sz w:val="18"/>
                  <w:szCs w:val="18"/>
                  <w:highlight w:val="yellow"/>
                </w:rPr>
                <w:t>Official</w:t>
              </w:r>
            </w:p>
          </w:sdtContent>
        </w:sdt>
      </w:tc>
      <w:tc>
        <w:tcPr>
          <w:tcW w:w="1630" w:type="pct"/>
          <w:vAlign w:val="center"/>
        </w:tcPr>
        <w:sdt>
          <w:sdtPr>
            <w:rPr>
              <w:color w:val="808080" w:themeColor="background1" w:themeShade="80"/>
              <w:sz w:val="18"/>
              <w:szCs w:val="18"/>
            </w:rPr>
            <w:id w:val="1238910958"/>
            <w:lock w:val="sdtLocked"/>
          </w:sdtPr>
          <w:sdtEndPr/>
          <w:sdtContent>
            <w:p w:rsidR="00222E0D" w:rsidRPr="00E37A1A" w:rsidRDefault="00222E0D" w:rsidP="00E37A1A">
              <w:pPr>
                <w:pStyle w:val="Footer"/>
                <w:jc w:val="right"/>
                <w:rPr>
                  <w:rFonts w:cs="Arial"/>
                  <w:color w:val="808080" w:themeColor="background1" w:themeShade="80"/>
                  <w:sz w:val="18"/>
                  <w:szCs w:val="18"/>
                </w:rPr>
              </w:pPr>
              <w:r w:rsidRPr="00E37A1A">
                <w:rPr>
                  <w:color w:val="808080" w:themeColor="background1" w:themeShade="80"/>
                  <w:sz w:val="18"/>
                  <w:szCs w:val="18"/>
                </w:rPr>
                <w:t xml:space="preserve">Page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PAGE   \* MERGEFORMAT </w:instrText>
              </w:r>
              <w:r w:rsidRPr="00E37A1A">
                <w:rPr>
                  <w:color w:val="808080" w:themeColor="background1" w:themeShade="80"/>
                  <w:sz w:val="18"/>
                  <w:szCs w:val="18"/>
                </w:rPr>
                <w:fldChar w:fldCharType="separate"/>
              </w:r>
              <w:r w:rsidR="005058A4">
                <w:rPr>
                  <w:noProof/>
                  <w:color w:val="808080" w:themeColor="background1" w:themeShade="80"/>
                  <w:sz w:val="18"/>
                  <w:szCs w:val="18"/>
                </w:rPr>
                <w:t>1</w:t>
              </w:r>
              <w:r w:rsidRPr="00E37A1A">
                <w:rPr>
                  <w:color w:val="808080" w:themeColor="background1" w:themeShade="80"/>
                  <w:sz w:val="18"/>
                  <w:szCs w:val="18"/>
                </w:rPr>
                <w:fldChar w:fldCharType="end"/>
              </w:r>
              <w:r w:rsidRPr="00E37A1A">
                <w:rPr>
                  <w:color w:val="808080" w:themeColor="background1" w:themeShade="80"/>
                  <w:sz w:val="18"/>
                  <w:szCs w:val="18"/>
                </w:rPr>
                <w:t xml:space="preserve"> of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NUMPAGES   \* MERGEFORMAT </w:instrText>
              </w:r>
              <w:r w:rsidRPr="00E37A1A">
                <w:rPr>
                  <w:color w:val="808080" w:themeColor="background1" w:themeShade="80"/>
                  <w:sz w:val="18"/>
                  <w:szCs w:val="18"/>
                </w:rPr>
                <w:fldChar w:fldCharType="separate"/>
              </w:r>
              <w:r w:rsidR="005058A4">
                <w:rPr>
                  <w:noProof/>
                  <w:color w:val="808080" w:themeColor="background1" w:themeShade="80"/>
                  <w:sz w:val="18"/>
                  <w:szCs w:val="18"/>
                </w:rPr>
                <w:t>6</w:t>
              </w:r>
              <w:r w:rsidRPr="00E37A1A">
                <w:rPr>
                  <w:color w:val="808080" w:themeColor="background1" w:themeShade="80"/>
                  <w:sz w:val="18"/>
                  <w:szCs w:val="18"/>
                </w:rPr>
                <w:fldChar w:fldCharType="end"/>
              </w:r>
            </w:p>
          </w:sdtContent>
        </w:sdt>
      </w:tc>
    </w:tr>
  </w:tbl>
  <w:p w:rsidR="00222E0D" w:rsidRPr="004C4588" w:rsidRDefault="00222E0D" w:rsidP="00A2113C">
    <w:pPr>
      <w:pStyle w:val="Footer"/>
      <w:rPr>
        <w:b/>
        <w: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CDB" w:rsidRDefault="00230CDB" w:rsidP="006E7CFE">
      <w:r>
        <w:separator/>
      </w:r>
    </w:p>
  </w:footnote>
  <w:footnote w:type="continuationSeparator" w:id="0">
    <w:p w:rsidR="00230CDB" w:rsidRDefault="00230CDB" w:rsidP="006E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0D" w:rsidRDefault="00222E0D" w:rsidP="005547C0">
    <w:pPr>
      <w:pStyle w:val="Header"/>
      <w:pBdr>
        <w:bottom w:val="single" w:sz="8" w:space="1" w:color="003E7E"/>
      </w:pBdr>
      <w:spacing w:line="276" w:lineRule="auto"/>
      <w:ind w:right="-1"/>
      <w:jc w:val="right"/>
    </w:pPr>
    <w:r w:rsidRPr="00A5348C">
      <w:rPr>
        <w:caps/>
        <w:color w:val="808080" w:themeColor="background1" w:themeShade="80"/>
        <w:sz w:val="18"/>
        <w:szCs w:val="18"/>
      </w:rPr>
      <w:t xml:space="preserve">Security classification: </w:t>
    </w:r>
    <w:sdt>
      <w:sdtPr>
        <w:rPr>
          <w:caps/>
          <w:color w:val="808080" w:themeColor="background1" w:themeShade="80"/>
          <w:sz w:val="18"/>
          <w:szCs w:val="18"/>
        </w:rPr>
        <w:id w:val="1226878025"/>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Pr="00ED2445">
          <w:rPr>
            <w:caps/>
            <w:color w:val="808080" w:themeColor="background1" w:themeShade="80"/>
            <w:sz w:val="18"/>
            <w:szCs w:val="18"/>
            <w:highlight w:val="yellow"/>
          </w:rPr>
          <w:t>OFFICIAL</w:t>
        </w:r>
      </w:sdtContent>
    </w:sdt>
    <w:r w:rsidRPr="004C4588">
      <w:rPr>
        <w:b/>
        <w:color w:val="808080" w:themeColor="background1" w:themeShade="80"/>
      </w:rPr>
      <w:br/>
    </w:r>
    <w:sdt>
      <w:sdtPr>
        <w:id w:val="-631015312"/>
        <w:lock w:val="sdtLocked"/>
      </w:sdtPr>
      <w:sdtEndPr/>
      <w:sdtContent>
        <w:r>
          <w:t>Out of Court Disposal Scrutiny Panel</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0D" w:rsidRPr="00A14753" w:rsidRDefault="00222E0D" w:rsidP="00A14753">
    <w:pPr>
      <w:pStyle w:val="Header"/>
      <w:jc w:val="center"/>
      <w:rPr>
        <w:caps/>
        <w:color w:val="808080" w:themeColor="background1" w:themeShade="80"/>
        <w:sz w:val="18"/>
        <w:szCs w:val="18"/>
      </w:rPr>
    </w:pPr>
    <w:r w:rsidRPr="004C4588">
      <w:rPr>
        <w:noProof/>
        <w:color w:val="808080" w:themeColor="background1" w:themeShade="80"/>
        <w:lang w:eastAsia="en-GB"/>
      </w:rPr>
      <w:drawing>
        <wp:anchor distT="0" distB="0" distL="114300" distR="114300" simplePos="0" relativeHeight="251659264" behindDoc="1" locked="0" layoutInCell="1" allowOverlap="1" wp14:anchorId="6B56097A" wp14:editId="5EB68FFE">
          <wp:simplePos x="0" y="0"/>
          <wp:positionH relativeFrom="margin">
            <wp:align>right</wp:align>
          </wp:positionH>
          <wp:positionV relativeFrom="paragraph">
            <wp:posOffset>71755</wp:posOffset>
          </wp:positionV>
          <wp:extent cx="779659" cy="942391"/>
          <wp:effectExtent l="0" t="0" r="1905" b="0"/>
          <wp:wrapNone/>
          <wp:docPr id="3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659" cy="942391"/>
                  </a:xfrm>
                  <a:prstGeom prst="rect">
                    <a:avLst/>
                  </a:prstGeom>
                </pic:spPr>
              </pic:pic>
            </a:graphicData>
          </a:graphic>
          <wp14:sizeRelH relativeFrom="page">
            <wp14:pctWidth>0</wp14:pctWidth>
          </wp14:sizeRelH>
          <wp14:sizeRelV relativeFrom="page">
            <wp14:pctHeight>0</wp14:pctHeight>
          </wp14:sizeRelV>
        </wp:anchor>
      </w:drawing>
    </w:r>
    <w:r w:rsidRPr="00A5348C">
      <w:rPr>
        <w:caps/>
        <w:color w:val="808080" w:themeColor="background1" w:themeShade="80"/>
        <w:sz w:val="18"/>
        <w:szCs w:val="18"/>
      </w:rPr>
      <w:t xml:space="preserve">Security classification: </w:t>
    </w:r>
    <w:sdt>
      <w:sdtPr>
        <w:rPr>
          <w:caps/>
          <w:color w:val="808080" w:themeColor="background1" w:themeShade="80"/>
          <w:sz w:val="18"/>
          <w:szCs w:val="18"/>
        </w:rPr>
        <w:id w:val="62966530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Pr="00ED2445">
          <w:rPr>
            <w:caps/>
            <w:color w:val="808080" w:themeColor="background1" w:themeShade="80"/>
            <w:sz w:val="18"/>
            <w:szCs w:val="18"/>
            <w:highlight w:val="yellow"/>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1AF3"/>
    <w:multiLevelType w:val="hybridMultilevel"/>
    <w:tmpl w:val="BF9081D8"/>
    <w:lvl w:ilvl="0" w:tplc="A1A6F8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1652A"/>
    <w:multiLevelType w:val="hybridMultilevel"/>
    <w:tmpl w:val="5FE2DB3C"/>
    <w:lvl w:ilvl="0" w:tplc="0D84DAE2">
      <w:start w:val="1"/>
      <w:numFmt w:val="bullet"/>
      <w:pStyle w:val="ListParagraph"/>
      <w:lvlText w:val=""/>
      <w:lvlJc w:val="left"/>
      <w:pPr>
        <w:ind w:left="1440" w:hanging="360"/>
      </w:pPr>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26205B"/>
    <w:multiLevelType w:val="hybridMultilevel"/>
    <w:tmpl w:val="722A5182"/>
    <w:lvl w:ilvl="0" w:tplc="623C0CEC">
      <w:numFmt w:val="bullet"/>
      <w:lvlText w:val="-"/>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FD0216"/>
    <w:multiLevelType w:val="hybridMultilevel"/>
    <w:tmpl w:val="64A8E1D2"/>
    <w:lvl w:ilvl="0" w:tplc="D03661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90132"/>
    <w:multiLevelType w:val="hybridMultilevel"/>
    <w:tmpl w:val="16783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DB7FC1"/>
    <w:multiLevelType w:val="hybridMultilevel"/>
    <w:tmpl w:val="C218A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F22B81"/>
    <w:multiLevelType w:val="hybridMultilevel"/>
    <w:tmpl w:val="25C444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12AF0"/>
    <w:multiLevelType w:val="hybridMultilevel"/>
    <w:tmpl w:val="3C307A1A"/>
    <w:lvl w:ilvl="0" w:tplc="2222C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D3CF9"/>
    <w:multiLevelType w:val="hybridMultilevel"/>
    <w:tmpl w:val="6552989A"/>
    <w:lvl w:ilvl="0" w:tplc="FFB0C3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E2B6E"/>
    <w:multiLevelType w:val="hybridMultilevel"/>
    <w:tmpl w:val="F20C3E8C"/>
    <w:lvl w:ilvl="0" w:tplc="71BA7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4C71D7"/>
    <w:multiLevelType w:val="hybridMultilevel"/>
    <w:tmpl w:val="342831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D629C"/>
    <w:multiLevelType w:val="hybridMultilevel"/>
    <w:tmpl w:val="E482F706"/>
    <w:lvl w:ilvl="0" w:tplc="4A0E8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1"/>
  </w:num>
  <w:num w:numId="5">
    <w:abstractNumId w:val="7"/>
  </w:num>
  <w:num w:numId="6">
    <w:abstractNumId w:val="8"/>
  </w:num>
  <w:num w:numId="7">
    <w:abstractNumId w:val="11"/>
  </w:num>
  <w:num w:numId="8">
    <w:abstractNumId w:val="6"/>
  </w:num>
  <w:num w:numId="9">
    <w:abstractNumId w:val="0"/>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efaultTableStyle w:val="Style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FE"/>
    <w:rsid w:val="00000DA6"/>
    <w:rsid w:val="0001539B"/>
    <w:rsid w:val="00017DBE"/>
    <w:rsid w:val="000502E2"/>
    <w:rsid w:val="000545E1"/>
    <w:rsid w:val="00055F2F"/>
    <w:rsid w:val="000608CE"/>
    <w:rsid w:val="00062A2F"/>
    <w:rsid w:val="0006315C"/>
    <w:rsid w:val="00063FD6"/>
    <w:rsid w:val="00094EE6"/>
    <w:rsid w:val="00095800"/>
    <w:rsid w:val="000B2C34"/>
    <w:rsid w:val="000D2F8B"/>
    <w:rsid w:val="000E1A9A"/>
    <w:rsid w:val="000E257B"/>
    <w:rsid w:val="000E5C39"/>
    <w:rsid w:val="000F3922"/>
    <w:rsid w:val="000F4158"/>
    <w:rsid w:val="0010563B"/>
    <w:rsid w:val="00117495"/>
    <w:rsid w:val="00130DD4"/>
    <w:rsid w:val="00132661"/>
    <w:rsid w:val="00141108"/>
    <w:rsid w:val="00147370"/>
    <w:rsid w:val="00160610"/>
    <w:rsid w:val="0018250B"/>
    <w:rsid w:val="00184252"/>
    <w:rsid w:val="00193A42"/>
    <w:rsid w:val="001A6EFA"/>
    <w:rsid w:val="001C0BFD"/>
    <w:rsid w:val="001C0D99"/>
    <w:rsid w:val="001F0632"/>
    <w:rsid w:val="001F4C20"/>
    <w:rsid w:val="001F593A"/>
    <w:rsid w:val="00205499"/>
    <w:rsid w:val="0020684E"/>
    <w:rsid w:val="00214DFF"/>
    <w:rsid w:val="00215B00"/>
    <w:rsid w:val="00222E0D"/>
    <w:rsid w:val="002254D5"/>
    <w:rsid w:val="00230CDB"/>
    <w:rsid w:val="002469D7"/>
    <w:rsid w:val="0025440A"/>
    <w:rsid w:val="00290DD3"/>
    <w:rsid w:val="002A0F81"/>
    <w:rsid w:val="002C07D8"/>
    <w:rsid w:val="002E1DFD"/>
    <w:rsid w:val="002E6227"/>
    <w:rsid w:val="002E7C0A"/>
    <w:rsid w:val="002F5B6E"/>
    <w:rsid w:val="002F6FDB"/>
    <w:rsid w:val="00303F93"/>
    <w:rsid w:val="003100E8"/>
    <w:rsid w:val="0031788D"/>
    <w:rsid w:val="00322CF5"/>
    <w:rsid w:val="00341EE3"/>
    <w:rsid w:val="00366182"/>
    <w:rsid w:val="00372B5C"/>
    <w:rsid w:val="00380EBD"/>
    <w:rsid w:val="003816EC"/>
    <w:rsid w:val="00386863"/>
    <w:rsid w:val="003B2B9A"/>
    <w:rsid w:val="003C2967"/>
    <w:rsid w:val="003D65E5"/>
    <w:rsid w:val="003F6B44"/>
    <w:rsid w:val="00401BE3"/>
    <w:rsid w:val="00410705"/>
    <w:rsid w:val="00420DF2"/>
    <w:rsid w:val="0042454F"/>
    <w:rsid w:val="0044250F"/>
    <w:rsid w:val="004438B2"/>
    <w:rsid w:val="00444595"/>
    <w:rsid w:val="004551EF"/>
    <w:rsid w:val="0046308A"/>
    <w:rsid w:val="004667CA"/>
    <w:rsid w:val="00493E48"/>
    <w:rsid w:val="004A4101"/>
    <w:rsid w:val="004C4588"/>
    <w:rsid w:val="004C7E20"/>
    <w:rsid w:val="004E3FB4"/>
    <w:rsid w:val="004F7BA1"/>
    <w:rsid w:val="004F7ED8"/>
    <w:rsid w:val="005058A4"/>
    <w:rsid w:val="0052743A"/>
    <w:rsid w:val="0053034B"/>
    <w:rsid w:val="00541E26"/>
    <w:rsid w:val="005547C0"/>
    <w:rsid w:val="00565ACD"/>
    <w:rsid w:val="005673FB"/>
    <w:rsid w:val="00567CD9"/>
    <w:rsid w:val="005733F5"/>
    <w:rsid w:val="0058181A"/>
    <w:rsid w:val="00596697"/>
    <w:rsid w:val="005C45FC"/>
    <w:rsid w:val="005E0077"/>
    <w:rsid w:val="005E2244"/>
    <w:rsid w:val="005E7D9A"/>
    <w:rsid w:val="006223F5"/>
    <w:rsid w:val="00651290"/>
    <w:rsid w:val="006614E5"/>
    <w:rsid w:val="00665BF2"/>
    <w:rsid w:val="00685BFD"/>
    <w:rsid w:val="00691125"/>
    <w:rsid w:val="006B098F"/>
    <w:rsid w:val="006D08EC"/>
    <w:rsid w:val="006D5321"/>
    <w:rsid w:val="006D5952"/>
    <w:rsid w:val="006E7CFE"/>
    <w:rsid w:val="00721021"/>
    <w:rsid w:val="00723156"/>
    <w:rsid w:val="00730955"/>
    <w:rsid w:val="00744492"/>
    <w:rsid w:val="00761BEF"/>
    <w:rsid w:val="00767553"/>
    <w:rsid w:val="0077271E"/>
    <w:rsid w:val="007A6CDB"/>
    <w:rsid w:val="007A72C9"/>
    <w:rsid w:val="007A7C2D"/>
    <w:rsid w:val="007B227F"/>
    <w:rsid w:val="007B40CE"/>
    <w:rsid w:val="007D207E"/>
    <w:rsid w:val="007F0AFE"/>
    <w:rsid w:val="007F1392"/>
    <w:rsid w:val="007F5344"/>
    <w:rsid w:val="0080116B"/>
    <w:rsid w:val="0080538F"/>
    <w:rsid w:val="008062E7"/>
    <w:rsid w:val="00811BD0"/>
    <w:rsid w:val="008158FD"/>
    <w:rsid w:val="00824BBD"/>
    <w:rsid w:val="00825CAD"/>
    <w:rsid w:val="00833EDE"/>
    <w:rsid w:val="00842118"/>
    <w:rsid w:val="00867DF8"/>
    <w:rsid w:val="00870E1B"/>
    <w:rsid w:val="00871C70"/>
    <w:rsid w:val="00881DCA"/>
    <w:rsid w:val="008A066E"/>
    <w:rsid w:val="008A3FCE"/>
    <w:rsid w:val="008B0CA6"/>
    <w:rsid w:val="00906DA5"/>
    <w:rsid w:val="00913216"/>
    <w:rsid w:val="009277D9"/>
    <w:rsid w:val="00927DAD"/>
    <w:rsid w:val="00931C8A"/>
    <w:rsid w:val="0095132D"/>
    <w:rsid w:val="00962F2A"/>
    <w:rsid w:val="00996177"/>
    <w:rsid w:val="009B6593"/>
    <w:rsid w:val="009C366A"/>
    <w:rsid w:val="009C5900"/>
    <w:rsid w:val="009E55AB"/>
    <w:rsid w:val="00A00AF4"/>
    <w:rsid w:val="00A0689B"/>
    <w:rsid w:val="00A14753"/>
    <w:rsid w:val="00A2113C"/>
    <w:rsid w:val="00A37F08"/>
    <w:rsid w:val="00A45F6F"/>
    <w:rsid w:val="00A5348C"/>
    <w:rsid w:val="00A54C10"/>
    <w:rsid w:val="00A57CAB"/>
    <w:rsid w:val="00A71AC0"/>
    <w:rsid w:val="00A72928"/>
    <w:rsid w:val="00A80AA6"/>
    <w:rsid w:val="00A93DB9"/>
    <w:rsid w:val="00AB7DA9"/>
    <w:rsid w:val="00AD497C"/>
    <w:rsid w:val="00AE0869"/>
    <w:rsid w:val="00AE46D5"/>
    <w:rsid w:val="00AE7E98"/>
    <w:rsid w:val="00AF1D82"/>
    <w:rsid w:val="00B1500A"/>
    <w:rsid w:val="00B23B37"/>
    <w:rsid w:val="00B35D19"/>
    <w:rsid w:val="00B462E7"/>
    <w:rsid w:val="00B51BF7"/>
    <w:rsid w:val="00B54B4B"/>
    <w:rsid w:val="00B57447"/>
    <w:rsid w:val="00B6320B"/>
    <w:rsid w:val="00B71880"/>
    <w:rsid w:val="00B72877"/>
    <w:rsid w:val="00B77867"/>
    <w:rsid w:val="00B820DC"/>
    <w:rsid w:val="00BC29F3"/>
    <w:rsid w:val="00BD3D77"/>
    <w:rsid w:val="00BF4DA5"/>
    <w:rsid w:val="00C02D48"/>
    <w:rsid w:val="00C245A6"/>
    <w:rsid w:val="00C30EFA"/>
    <w:rsid w:val="00C41D19"/>
    <w:rsid w:val="00C42DF8"/>
    <w:rsid w:val="00C433AE"/>
    <w:rsid w:val="00C53AD6"/>
    <w:rsid w:val="00C562F0"/>
    <w:rsid w:val="00C57EB0"/>
    <w:rsid w:val="00C82FB2"/>
    <w:rsid w:val="00C92AA7"/>
    <w:rsid w:val="00CD33B3"/>
    <w:rsid w:val="00D20AEA"/>
    <w:rsid w:val="00D31381"/>
    <w:rsid w:val="00D36751"/>
    <w:rsid w:val="00D41A63"/>
    <w:rsid w:val="00D52C65"/>
    <w:rsid w:val="00D655D1"/>
    <w:rsid w:val="00D76C1B"/>
    <w:rsid w:val="00D92810"/>
    <w:rsid w:val="00D93AB8"/>
    <w:rsid w:val="00DB0A09"/>
    <w:rsid w:val="00DB5BD1"/>
    <w:rsid w:val="00DD3562"/>
    <w:rsid w:val="00DD6CDB"/>
    <w:rsid w:val="00E04120"/>
    <w:rsid w:val="00E06B0A"/>
    <w:rsid w:val="00E1146F"/>
    <w:rsid w:val="00E204F5"/>
    <w:rsid w:val="00E228F4"/>
    <w:rsid w:val="00E261CD"/>
    <w:rsid w:val="00E37A1A"/>
    <w:rsid w:val="00E44319"/>
    <w:rsid w:val="00E57969"/>
    <w:rsid w:val="00E90B39"/>
    <w:rsid w:val="00EB39AC"/>
    <w:rsid w:val="00EC292B"/>
    <w:rsid w:val="00ED2445"/>
    <w:rsid w:val="00ED67EE"/>
    <w:rsid w:val="00EE2F7B"/>
    <w:rsid w:val="00EE45BB"/>
    <w:rsid w:val="00EF6A86"/>
    <w:rsid w:val="00F05017"/>
    <w:rsid w:val="00F17CC4"/>
    <w:rsid w:val="00F2253D"/>
    <w:rsid w:val="00F254F1"/>
    <w:rsid w:val="00F5105D"/>
    <w:rsid w:val="00F62F26"/>
    <w:rsid w:val="00F7578F"/>
    <w:rsid w:val="00F902D5"/>
    <w:rsid w:val="00F92BB3"/>
    <w:rsid w:val="00F95ABA"/>
    <w:rsid w:val="00F97A40"/>
    <w:rsid w:val="00FA35C2"/>
    <w:rsid w:val="00FA4777"/>
    <w:rsid w:val="00FB2136"/>
    <w:rsid w:val="00FC1353"/>
    <w:rsid w:val="00FD7275"/>
    <w:rsid w:val="00FF05F4"/>
    <w:rsid w:val="00FF08D0"/>
    <w:rsid w:val="00FF4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5530C5-C335-438F-8C0A-4925728E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ED67EE"/>
    <w:pPr>
      <w:spacing w:after="200"/>
    </w:pPr>
    <w:rPr>
      <w:rFonts w:ascii="Arial" w:hAnsi="Arial"/>
      <w:sz w:val="24"/>
      <w:szCs w:val="24"/>
      <w:lang w:eastAsia="en-US"/>
    </w:rPr>
  </w:style>
  <w:style w:type="paragraph" w:styleId="Heading1">
    <w:name w:val="heading 1"/>
    <w:basedOn w:val="Normal"/>
    <w:next w:val="Normal"/>
    <w:link w:val="Heading1Char"/>
    <w:uiPriority w:val="9"/>
    <w:rsid w:val="00F902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CFE"/>
    <w:pPr>
      <w:tabs>
        <w:tab w:val="center" w:pos="4513"/>
        <w:tab w:val="right" w:pos="9026"/>
      </w:tabs>
    </w:pPr>
  </w:style>
  <w:style w:type="character" w:customStyle="1" w:styleId="HeaderChar">
    <w:name w:val="Header Char"/>
    <w:basedOn w:val="DefaultParagraphFont"/>
    <w:link w:val="Header"/>
    <w:uiPriority w:val="99"/>
    <w:rsid w:val="006E7CFE"/>
    <w:rPr>
      <w:rFonts w:ascii="Arial" w:hAnsi="Arial"/>
      <w:sz w:val="24"/>
      <w:szCs w:val="24"/>
      <w:lang w:eastAsia="en-US"/>
    </w:rPr>
  </w:style>
  <w:style w:type="paragraph" w:styleId="Footer">
    <w:name w:val="footer"/>
    <w:basedOn w:val="Normal"/>
    <w:link w:val="FooterChar"/>
    <w:uiPriority w:val="99"/>
    <w:unhideWhenUsed/>
    <w:rsid w:val="006E7CFE"/>
    <w:pPr>
      <w:tabs>
        <w:tab w:val="center" w:pos="4513"/>
        <w:tab w:val="right" w:pos="9026"/>
      </w:tabs>
    </w:pPr>
  </w:style>
  <w:style w:type="character" w:customStyle="1" w:styleId="FooterChar">
    <w:name w:val="Footer Char"/>
    <w:basedOn w:val="DefaultParagraphFont"/>
    <w:link w:val="Footer"/>
    <w:uiPriority w:val="99"/>
    <w:rsid w:val="006E7CFE"/>
    <w:rPr>
      <w:rFonts w:ascii="Arial" w:hAnsi="Arial"/>
      <w:sz w:val="24"/>
      <w:szCs w:val="24"/>
      <w:lang w:eastAsia="en-US"/>
    </w:rPr>
  </w:style>
  <w:style w:type="paragraph" w:styleId="BalloonText">
    <w:name w:val="Balloon Text"/>
    <w:basedOn w:val="Normal"/>
    <w:link w:val="BalloonTextChar"/>
    <w:uiPriority w:val="99"/>
    <w:semiHidden/>
    <w:unhideWhenUsed/>
    <w:rsid w:val="006E7CFE"/>
    <w:rPr>
      <w:rFonts w:ascii="Tahoma" w:hAnsi="Tahoma" w:cs="Tahoma"/>
      <w:sz w:val="16"/>
      <w:szCs w:val="16"/>
    </w:rPr>
  </w:style>
  <w:style w:type="character" w:customStyle="1" w:styleId="BalloonTextChar">
    <w:name w:val="Balloon Text Char"/>
    <w:basedOn w:val="DefaultParagraphFont"/>
    <w:link w:val="BalloonText"/>
    <w:uiPriority w:val="99"/>
    <w:semiHidden/>
    <w:rsid w:val="006E7CFE"/>
    <w:rPr>
      <w:rFonts w:ascii="Tahoma" w:hAnsi="Tahoma" w:cs="Tahoma"/>
      <w:sz w:val="16"/>
      <w:szCs w:val="16"/>
      <w:lang w:eastAsia="en-US"/>
    </w:rPr>
  </w:style>
  <w:style w:type="character" w:styleId="PlaceholderText">
    <w:name w:val="Placeholder Text"/>
    <w:basedOn w:val="DefaultParagraphFont"/>
    <w:uiPriority w:val="99"/>
    <w:semiHidden/>
    <w:rsid w:val="002F5B6E"/>
    <w:rPr>
      <w:color w:val="808080"/>
    </w:rPr>
  </w:style>
  <w:style w:type="paragraph" w:styleId="ListParagraph">
    <w:name w:val="List Paragraph"/>
    <w:basedOn w:val="Normal"/>
    <w:uiPriority w:val="34"/>
    <w:rsid w:val="00D93AB8"/>
    <w:pPr>
      <w:numPr>
        <w:numId w:val="4"/>
      </w:numPr>
      <w:spacing w:before="200"/>
      <w:ind w:left="851" w:hanging="426"/>
      <w:contextualSpacing/>
    </w:pPr>
  </w:style>
  <w:style w:type="table" w:styleId="TableGrid">
    <w:name w:val="Table Grid"/>
    <w:basedOn w:val="TableNormal"/>
    <w:uiPriority w:val="59"/>
    <w:rsid w:val="00A2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Main Title"/>
    <w:next w:val="Subtitle"/>
    <w:link w:val="TitleChar"/>
    <w:uiPriority w:val="10"/>
    <w:qFormat/>
    <w:rsid w:val="00B54B4B"/>
    <w:pPr>
      <w:spacing w:before="200"/>
    </w:pPr>
    <w:rPr>
      <w:rFonts w:ascii="Arial" w:eastAsiaTheme="majorEastAsia" w:hAnsi="Arial" w:cstheme="majorBidi"/>
      <w:color w:val="EF4135"/>
      <w:spacing w:val="5"/>
      <w:kern w:val="28"/>
      <w:sz w:val="44"/>
      <w:szCs w:val="52"/>
      <w:lang w:eastAsia="en-US"/>
    </w:rPr>
  </w:style>
  <w:style w:type="character" w:customStyle="1" w:styleId="TitleChar">
    <w:name w:val="Title Char"/>
    <w:aliases w:val="Main Title Char"/>
    <w:basedOn w:val="DefaultParagraphFont"/>
    <w:link w:val="Title"/>
    <w:uiPriority w:val="10"/>
    <w:rsid w:val="00B54B4B"/>
    <w:rPr>
      <w:rFonts w:ascii="Arial" w:eastAsiaTheme="majorEastAsia" w:hAnsi="Arial" w:cstheme="majorBidi"/>
      <w:color w:val="EF4135"/>
      <w:spacing w:val="5"/>
      <w:kern w:val="28"/>
      <w:sz w:val="44"/>
      <w:szCs w:val="52"/>
      <w:lang w:eastAsia="en-US"/>
    </w:rPr>
  </w:style>
  <w:style w:type="paragraph" w:styleId="Subtitle">
    <w:name w:val="Subtitle"/>
    <w:aliases w:val="Main Subtitle"/>
    <w:basedOn w:val="Title"/>
    <w:next w:val="Normal"/>
    <w:link w:val="SubtitleChar"/>
    <w:uiPriority w:val="11"/>
    <w:qFormat/>
    <w:rsid w:val="005547C0"/>
    <w:pPr>
      <w:numPr>
        <w:ilvl w:val="1"/>
      </w:numPr>
      <w:pBdr>
        <w:bottom w:val="single" w:sz="8" w:space="11" w:color="003E7E"/>
      </w:pBdr>
      <w:spacing w:before="0" w:after="360"/>
    </w:pPr>
    <w:rPr>
      <w:iCs/>
      <w:color w:val="003E7E"/>
      <w:sz w:val="32"/>
    </w:rPr>
  </w:style>
  <w:style w:type="character" w:customStyle="1" w:styleId="SubtitleChar">
    <w:name w:val="Subtitle Char"/>
    <w:aliases w:val="Main Subtitle Char"/>
    <w:basedOn w:val="DefaultParagraphFont"/>
    <w:link w:val="Subtitle"/>
    <w:uiPriority w:val="11"/>
    <w:rsid w:val="005547C0"/>
    <w:rPr>
      <w:rFonts w:ascii="Arial" w:eastAsiaTheme="majorEastAsia" w:hAnsi="Arial" w:cstheme="majorBidi"/>
      <w:iCs/>
      <w:color w:val="003E7E"/>
      <w:spacing w:val="5"/>
      <w:kern w:val="28"/>
      <w:sz w:val="32"/>
      <w:szCs w:val="52"/>
      <w:lang w:eastAsia="en-US"/>
    </w:rPr>
  </w:style>
  <w:style w:type="character" w:styleId="SubtleEmphasis">
    <w:name w:val="Subtle Emphasis"/>
    <w:basedOn w:val="DefaultParagraphFont"/>
    <w:uiPriority w:val="19"/>
    <w:rsid w:val="00B54B4B"/>
    <w:rPr>
      <w:rFonts w:ascii="Arial" w:hAnsi="Arial"/>
      <w:i w:val="0"/>
      <w:iCs/>
      <w:color w:val="003E7E"/>
      <w:sz w:val="28"/>
    </w:rPr>
  </w:style>
  <w:style w:type="character" w:styleId="Strong">
    <w:name w:val="Strong"/>
    <w:basedOn w:val="DefaultParagraphFont"/>
    <w:uiPriority w:val="22"/>
    <w:rsid w:val="00B54B4B"/>
    <w:rPr>
      <w:b/>
      <w:bCs/>
    </w:rPr>
  </w:style>
  <w:style w:type="character" w:styleId="BookTitle">
    <w:name w:val="Book Title"/>
    <w:basedOn w:val="DefaultParagraphFont"/>
    <w:uiPriority w:val="33"/>
    <w:rsid w:val="00B54B4B"/>
    <w:rPr>
      <w:b/>
      <w:bCs/>
      <w:smallCaps/>
      <w:spacing w:val="5"/>
    </w:rPr>
  </w:style>
  <w:style w:type="paragraph" w:customStyle="1" w:styleId="BodyHeadings">
    <w:name w:val="Body Headings"/>
    <w:basedOn w:val="Normal"/>
    <w:next w:val="Normal"/>
    <w:link w:val="BodyHeadingsChar"/>
    <w:rsid w:val="00A45F6F"/>
    <w:pPr>
      <w:spacing w:before="360"/>
    </w:pPr>
    <w:rPr>
      <w:color w:val="003E7E"/>
      <w:sz w:val="28"/>
    </w:rPr>
  </w:style>
  <w:style w:type="character" w:customStyle="1" w:styleId="BodyHeadingsChar">
    <w:name w:val="Body Headings Char"/>
    <w:basedOn w:val="DefaultParagraphFont"/>
    <w:link w:val="BodyHeadings"/>
    <w:rsid w:val="00A45F6F"/>
    <w:rPr>
      <w:rFonts w:ascii="Arial" w:hAnsi="Arial"/>
      <w:color w:val="003E7E"/>
      <w:sz w:val="28"/>
      <w:szCs w:val="24"/>
      <w:lang w:eastAsia="en-US"/>
    </w:rPr>
  </w:style>
  <w:style w:type="table" w:customStyle="1" w:styleId="GC1">
    <w:name w:val="GC 1"/>
    <w:basedOn w:val="TableNormal"/>
    <w:uiPriority w:val="99"/>
    <w:rsid w:val="00E04120"/>
    <w:pPr>
      <w:ind w:left="57" w:right="57"/>
      <w:contextualSpacing/>
    </w:pPr>
    <w:rPr>
      <w:rFonts w:ascii="Arial" w:hAnsi="Arial"/>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rPr>
      <w:cantSplit/>
    </w:trPr>
    <w:tcPr>
      <w:vAlign w:val="center"/>
    </w:tc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styleId="MediumGrid3-Accent1">
    <w:name w:val="Medium Grid 3 Accent 1"/>
    <w:basedOn w:val="TableNormal"/>
    <w:uiPriority w:val="69"/>
    <w:rsid w:val="001411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GC1"/>
    <w:uiPriority w:val="99"/>
    <w:rsid w:val="004C7E20"/>
    <w:pPr>
      <w:spacing w:before="100" w:beforeAutospacing="1" w:after="100" w:afterAutospacing="1"/>
    </w:pPr>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tblStylePr>
  </w:style>
  <w:style w:type="table" w:customStyle="1" w:styleId="Style2">
    <w:name w:val="Style2"/>
    <w:basedOn w:val="GC1"/>
    <w:uiPriority w:val="99"/>
    <w:rsid w:val="004C7E20"/>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customStyle="1" w:styleId="Style3">
    <w:name w:val="Style3"/>
    <w:basedOn w:val="GC1"/>
    <w:uiPriority w:val="99"/>
    <w:rsid w:val="00386863"/>
    <w:tblPr/>
    <w:tblStylePr w:type="firstRow">
      <w:pPr>
        <w:wordWrap/>
        <w:spacing w:beforeLines="0" w:before="100" w:beforeAutospacing="1" w:afterLines="0" w:after="100" w:afterAutospacing="1"/>
        <w:ind w:leftChars="0" w:left="0" w:rightChars="0" w:right="0"/>
        <w:jc w:val="center"/>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center"/>
      </w:pPr>
      <w:rPr>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center"/>
      </w:pPr>
      <w:rPr>
        <w:color w:val="FFFFFF" w:themeColor="background1"/>
      </w:rPr>
    </w:tblStylePr>
  </w:style>
  <w:style w:type="table" w:customStyle="1" w:styleId="Style4">
    <w:name w:val="Style4"/>
    <w:basedOn w:val="GC1"/>
    <w:uiPriority w:val="99"/>
    <w:rsid w:val="004C7E20"/>
    <w:tblPr/>
    <w:tcPr>
      <w:shd w:val="clear" w:color="auto" w:fill="auto"/>
    </w:tc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rPr>
        <w:color w:val="FFFFFF" w:themeColor="background1"/>
      </w:rPr>
      <w:tblPr/>
      <w:tcPr>
        <w:shd w:val="clear" w:color="auto" w:fill="1F497D" w:themeFill="text2"/>
      </w:tcPr>
    </w:tblStylePr>
  </w:style>
  <w:style w:type="paragraph" w:customStyle="1" w:styleId="TinyText">
    <w:name w:val="Tiny Text"/>
    <w:basedOn w:val="Normal"/>
    <w:next w:val="Normal"/>
    <w:link w:val="TinyTextChar"/>
    <w:qFormat/>
    <w:rsid w:val="00D31381"/>
    <w:rPr>
      <w:sz w:val="12"/>
    </w:rPr>
  </w:style>
  <w:style w:type="paragraph" w:customStyle="1" w:styleId="BodyHeading">
    <w:name w:val="Body Heading"/>
    <w:basedOn w:val="Heading1"/>
    <w:next w:val="Normal"/>
    <w:link w:val="BodyHeadingChar"/>
    <w:qFormat/>
    <w:rsid w:val="00F902D5"/>
    <w:pPr>
      <w:spacing w:before="360" w:after="200"/>
    </w:pPr>
    <w:rPr>
      <w:rFonts w:ascii="Arial" w:hAnsi="Arial"/>
      <w:b w:val="0"/>
      <w:color w:val="003E7E"/>
    </w:rPr>
  </w:style>
  <w:style w:type="paragraph" w:styleId="TOC1">
    <w:name w:val="toc 1"/>
    <w:basedOn w:val="Normal"/>
    <w:next w:val="Normal"/>
    <w:autoRedefine/>
    <w:uiPriority w:val="39"/>
    <w:unhideWhenUsed/>
    <w:rsid w:val="00F902D5"/>
    <w:pPr>
      <w:spacing w:after="100"/>
    </w:pPr>
  </w:style>
  <w:style w:type="character" w:customStyle="1" w:styleId="Heading1Char">
    <w:name w:val="Heading 1 Char"/>
    <w:basedOn w:val="DefaultParagraphFont"/>
    <w:link w:val="Heading1"/>
    <w:uiPriority w:val="9"/>
    <w:rsid w:val="00F902D5"/>
    <w:rPr>
      <w:rFonts w:asciiTheme="majorHAnsi" w:eastAsiaTheme="majorEastAsia" w:hAnsiTheme="majorHAnsi" w:cstheme="majorBidi"/>
      <w:b/>
      <w:bCs/>
      <w:color w:val="365F91" w:themeColor="accent1" w:themeShade="BF"/>
      <w:sz w:val="28"/>
      <w:szCs w:val="28"/>
      <w:lang w:eastAsia="en-US"/>
    </w:rPr>
  </w:style>
  <w:style w:type="character" w:customStyle="1" w:styleId="BodyHeadingChar">
    <w:name w:val="Body Heading Char"/>
    <w:basedOn w:val="Heading1Char"/>
    <w:link w:val="BodyHeading"/>
    <w:rsid w:val="00F902D5"/>
    <w:rPr>
      <w:rFonts w:ascii="Arial" w:eastAsiaTheme="majorEastAsia" w:hAnsi="Arial" w:cstheme="majorBidi"/>
      <w:b w:val="0"/>
      <w:bCs/>
      <w:color w:val="003E7E"/>
      <w:sz w:val="28"/>
      <w:szCs w:val="28"/>
      <w:lang w:eastAsia="en-US"/>
    </w:rPr>
  </w:style>
  <w:style w:type="character" w:styleId="Hyperlink">
    <w:name w:val="Hyperlink"/>
    <w:basedOn w:val="DefaultParagraphFont"/>
    <w:uiPriority w:val="99"/>
    <w:unhideWhenUsed/>
    <w:rsid w:val="00F902D5"/>
    <w:rPr>
      <w:color w:val="0000FF" w:themeColor="hyperlink"/>
      <w:u w:val="single"/>
    </w:rPr>
  </w:style>
  <w:style w:type="character" w:customStyle="1" w:styleId="TinyTextChar">
    <w:name w:val="Tiny Text Char"/>
    <w:basedOn w:val="DefaultParagraphFont"/>
    <w:link w:val="TinyText"/>
    <w:rsid w:val="00D31381"/>
    <w:rPr>
      <w:rFonts w:ascii="Arial" w:hAnsi="Arial"/>
      <w:sz w:val="12"/>
      <w:szCs w:val="24"/>
      <w:lang w:eastAsia="en-US"/>
    </w:rPr>
  </w:style>
  <w:style w:type="paragraph" w:styleId="TOCHeading">
    <w:name w:val="TOC Heading"/>
    <w:basedOn w:val="Heading1"/>
    <w:next w:val="Normal"/>
    <w:uiPriority w:val="39"/>
    <w:unhideWhenUsed/>
    <w:rsid w:val="0031788D"/>
    <w:pPr>
      <w:spacing w:line="276" w:lineRule="auto"/>
      <w:outlineLvl w:val="9"/>
    </w:pPr>
    <w:rPr>
      <w:lang w:val="en-US" w:eastAsia="ja-JP"/>
    </w:rPr>
  </w:style>
  <w:style w:type="table" w:customStyle="1" w:styleId="Blanktablewithborderlines">
    <w:name w:val="Blank table with border lines"/>
    <w:basedOn w:val="GC1"/>
    <w:uiPriority w:val="99"/>
    <w:rsid w:val="00F2253D"/>
    <w:tbl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l2br w:val="nil"/>
          <w:tr2bl w:val="nil"/>
        </w:tcBorders>
        <w:shd w:val="clear" w:color="auto" w:fill="FFFFFF" w:themeFill="background1"/>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72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73C8A-2614-4BA1-B6FA-5E2FB46B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1489</Words>
  <Characters>8491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Natalie Stephens</Manager>
  <Company>Gloucestershire Constabulary</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Tuley, Sam</dc:creator>
  <cp:keywords>T06;</cp:keywords>
  <cp:lastModifiedBy>Tuley, Sam</cp:lastModifiedBy>
  <cp:revision>2</cp:revision>
  <cp:lastPrinted>2020-01-31T11:45:00Z</cp:lastPrinted>
  <dcterms:created xsi:type="dcterms:W3CDTF">2021-02-23T15:05:00Z</dcterms:created>
  <dcterms:modified xsi:type="dcterms:W3CDTF">2021-02-23T15:05:00Z</dcterms:modified>
</cp:coreProperties>
</file>